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4814" w14:textId="41E24FAE" w:rsidR="0017124A" w:rsidRPr="00E12802" w:rsidRDefault="00917F33">
      <w:pPr>
        <w:rPr>
          <w:rFonts w:ascii="Times New Roman" w:hAnsi="Times New Roman" w:cs="Times New Roman"/>
          <w:b/>
          <w:bCs/>
          <w:sz w:val="32"/>
          <w:szCs w:val="32"/>
          <w:u w:val="single"/>
        </w:rPr>
      </w:pPr>
      <w:r w:rsidRPr="00E12802">
        <w:rPr>
          <w:rFonts w:ascii="Times New Roman" w:hAnsi="Times New Roman" w:cs="Times New Roman"/>
          <w:b/>
          <w:bCs/>
          <w:sz w:val="32"/>
          <w:szCs w:val="32"/>
          <w:u w:val="single"/>
        </w:rPr>
        <w:t>Business Theory and practice</w:t>
      </w:r>
      <w:r w:rsidR="00E12802">
        <w:rPr>
          <w:rFonts w:ascii="Times New Roman" w:hAnsi="Times New Roman" w:cs="Times New Roman"/>
          <w:b/>
          <w:bCs/>
          <w:sz w:val="32"/>
          <w:szCs w:val="32"/>
          <w:u w:val="single"/>
        </w:rPr>
        <w:t xml:space="preserve"> (BTP)</w:t>
      </w:r>
    </w:p>
    <w:p w14:paraId="0FFD5341" w14:textId="3408F7AE" w:rsidR="00917F33" w:rsidRPr="00F21AF6" w:rsidRDefault="00917F33">
      <w:pPr>
        <w:rPr>
          <w:b/>
          <w:bCs/>
          <w:sz w:val="32"/>
          <w:szCs w:val="32"/>
          <w:u w:val="single"/>
        </w:rPr>
      </w:pPr>
      <w:r w:rsidRPr="00F21AF6">
        <w:rPr>
          <w:b/>
          <w:bCs/>
          <w:sz w:val="32"/>
          <w:szCs w:val="32"/>
          <w:u w:val="single"/>
        </w:rPr>
        <w:t>https://journals.vgtu.lt/index.php/BTP/authorDashboard/submission/12657</w:t>
      </w:r>
    </w:p>
    <w:p w14:paraId="38E4ED36" w14:textId="4274F550" w:rsidR="00917F33" w:rsidRDefault="00917F33">
      <w:r>
        <w:rPr>
          <w:noProof/>
        </w:rPr>
        <w:drawing>
          <wp:inline distT="0" distB="0" distL="0" distR="0" wp14:anchorId="4C6D418B" wp14:editId="38EA3D21">
            <wp:extent cx="619125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91250" cy="3341370"/>
                    </a:xfrm>
                    <a:prstGeom prst="rect">
                      <a:avLst/>
                    </a:prstGeom>
                  </pic:spPr>
                </pic:pic>
              </a:graphicData>
            </a:graphic>
          </wp:inline>
        </w:drawing>
      </w:r>
    </w:p>
    <w:p w14:paraId="1BF3E085" w14:textId="1574DA96" w:rsidR="00917F33" w:rsidRPr="00917F33" w:rsidRDefault="00917F33">
      <w:pPr>
        <w:rPr>
          <w:sz w:val="40"/>
          <w:szCs w:val="40"/>
        </w:rPr>
      </w:pPr>
      <w:r w:rsidRPr="00917F33">
        <w:rPr>
          <w:rFonts w:ascii="Noto Sans" w:hAnsi="Noto Sans" w:cs="Noto Sans"/>
          <w:color w:val="777777"/>
          <w:sz w:val="40"/>
          <w:szCs w:val="40"/>
          <w:shd w:val="clear" w:color="auto" w:fill="FFFFFF"/>
        </w:rPr>
        <w:t>2020-06-23 03:51 PM</w:t>
      </w:r>
    </w:p>
    <w:p w14:paraId="70A92DAB" w14:textId="745ED90D" w:rsidR="00917F33" w:rsidRDefault="00917F33">
      <w:pPr>
        <w:rPr>
          <w:rFonts w:ascii="Noto Sans" w:hAnsi="Noto Sans" w:cs="Noto Sans"/>
          <w:sz w:val="21"/>
          <w:szCs w:val="21"/>
          <w:shd w:val="clear" w:color="auto" w:fill="EEEEEE"/>
        </w:rPr>
      </w:pPr>
      <w:r>
        <w:rPr>
          <w:rFonts w:ascii="Noto Sans" w:hAnsi="Noto Sans" w:cs="Noto Sans"/>
          <w:sz w:val="21"/>
          <w:szCs w:val="21"/>
          <w:shd w:val="clear" w:color="auto" w:fill="EEEEEE"/>
        </w:rPr>
        <w:t>Fitri Wulandari:</w:t>
      </w:r>
      <w:r>
        <w:rPr>
          <w:rFonts w:ascii="Noto Sans" w:hAnsi="Noto Sans" w:cs="Noto Sans"/>
          <w:sz w:val="21"/>
          <w:szCs w:val="21"/>
        </w:rPr>
        <w:br/>
      </w:r>
      <w:r>
        <w:rPr>
          <w:rFonts w:ascii="Noto Sans" w:hAnsi="Noto Sans" w:cs="Noto Sans"/>
          <w:sz w:val="21"/>
          <w:szCs w:val="21"/>
        </w:rPr>
        <w:br/>
      </w:r>
      <w:r>
        <w:rPr>
          <w:rFonts w:ascii="Noto Sans" w:hAnsi="Noto Sans" w:cs="Noto Sans"/>
          <w:sz w:val="21"/>
          <w:szCs w:val="21"/>
          <w:shd w:val="clear" w:color="auto" w:fill="EEEEEE"/>
        </w:rPr>
        <w:t>We have reached a decision regarding your submission to Business: Theory and Practice, "THE MEDIATING ROLES OF PRO-COMMITMENT TO LEARNING AND ADAPTABILITY TO TECHNOLOGICAL CHANGE: PROFESSIONAL EXPERIENCE PORTFOLIO TOWARD EMPLOYEE PERFORMANCE".</w:t>
      </w:r>
      <w:r>
        <w:rPr>
          <w:rFonts w:ascii="Noto Sans" w:hAnsi="Noto Sans" w:cs="Noto Sans"/>
          <w:sz w:val="21"/>
          <w:szCs w:val="21"/>
        </w:rPr>
        <w:br/>
      </w:r>
      <w:r>
        <w:rPr>
          <w:rFonts w:ascii="Noto Sans" w:hAnsi="Noto Sans" w:cs="Noto Sans"/>
          <w:sz w:val="21"/>
          <w:szCs w:val="21"/>
        </w:rPr>
        <w:br/>
      </w:r>
      <w:r>
        <w:rPr>
          <w:rFonts w:ascii="Noto Sans" w:hAnsi="Noto Sans" w:cs="Noto Sans"/>
          <w:sz w:val="21"/>
          <w:szCs w:val="21"/>
          <w:shd w:val="clear" w:color="auto" w:fill="EEEEEE"/>
        </w:rPr>
        <w:t>Our decision is: Revisions Required</w:t>
      </w:r>
      <w:r>
        <w:rPr>
          <w:rFonts w:ascii="Noto Sans" w:hAnsi="Noto Sans" w:cs="Noto Sans"/>
          <w:sz w:val="21"/>
          <w:szCs w:val="21"/>
        </w:rPr>
        <w:br/>
      </w:r>
      <w:r>
        <w:rPr>
          <w:rFonts w:ascii="Noto Sans" w:hAnsi="Noto Sans" w:cs="Noto Sans"/>
          <w:sz w:val="21"/>
          <w:szCs w:val="21"/>
        </w:rPr>
        <w:br/>
      </w:r>
      <w:r>
        <w:rPr>
          <w:rFonts w:ascii="Noto Sans" w:hAnsi="Noto Sans" w:cs="Noto Sans"/>
          <w:sz w:val="21"/>
          <w:szCs w:val="21"/>
          <w:shd w:val="clear" w:color="auto" w:fill="EEEEEE"/>
        </w:rPr>
        <w:t>Živil</w:t>
      </w:r>
      <w:r>
        <w:rPr>
          <w:rFonts w:ascii="Calibri" w:hAnsi="Calibri" w:cs="Calibri"/>
          <w:sz w:val="21"/>
          <w:szCs w:val="21"/>
          <w:shd w:val="clear" w:color="auto" w:fill="EEEEEE"/>
        </w:rPr>
        <w:t>ė</w:t>
      </w:r>
      <w:r>
        <w:rPr>
          <w:rFonts w:ascii="Noto Sans" w:hAnsi="Noto Sans" w:cs="Noto Sans"/>
          <w:sz w:val="21"/>
          <w:szCs w:val="21"/>
          <w:shd w:val="clear" w:color="auto" w:fill="EEEEEE"/>
        </w:rPr>
        <w:t xml:space="preserve"> Tun</w:t>
      </w:r>
      <w:r>
        <w:rPr>
          <w:rFonts w:ascii="Calibri" w:hAnsi="Calibri" w:cs="Calibri"/>
          <w:sz w:val="21"/>
          <w:szCs w:val="21"/>
          <w:shd w:val="clear" w:color="auto" w:fill="EEEEEE"/>
        </w:rPr>
        <w:t>č</w:t>
      </w:r>
      <w:r>
        <w:rPr>
          <w:rFonts w:ascii="Noto Sans" w:hAnsi="Noto Sans" w:cs="Noto Sans"/>
          <w:sz w:val="21"/>
          <w:szCs w:val="21"/>
          <w:shd w:val="clear" w:color="auto" w:fill="EEEEEE"/>
        </w:rPr>
        <w:t>ikien</w:t>
      </w:r>
      <w:r>
        <w:rPr>
          <w:rFonts w:ascii="Calibri" w:hAnsi="Calibri" w:cs="Calibri"/>
          <w:sz w:val="21"/>
          <w:szCs w:val="21"/>
          <w:shd w:val="clear" w:color="auto" w:fill="EEEEEE"/>
        </w:rPr>
        <w:t>ė</w:t>
      </w:r>
      <w:r>
        <w:rPr>
          <w:rFonts w:ascii="Noto Sans" w:hAnsi="Noto Sans" w:cs="Noto Sans"/>
          <w:sz w:val="21"/>
          <w:szCs w:val="21"/>
        </w:rPr>
        <w:br/>
      </w:r>
      <w:hyperlink r:id="rId6" w:history="1">
        <w:r w:rsidRPr="00764B53">
          <w:rPr>
            <w:rStyle w:val="Hyperlink"/>
            <w:rFonts w:ascii="Noto Sans" w:hAnsi="Noto Sans" w:cs="Noto Sans"/>
            <w:sz w:val="21"/>
            <w:szCs w:val="21"/>
            <w:shd w:val="clear" w:color="auto" w:fill="EEEEEE"/>
          </w:rPr>
          <w:t>btp@vgtu.lt</w:t>
        </w:r>
      </w:hyperlink>
    </w:p>
    <w:p w14:paraId="53AF990C"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Reviewer A:</w:t>
      </w:r>
    </w:p>
    <w:p w14:paraId="128F3C7A"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 xml:space="preserve">The article “The mediating roles of pro-commitment to learning and adaptability to technological change: professional experience portfolio toward employee performance” presents clear abstract about the purpose, the methods, and the results of the research. The </w:t>
      </w:r>
      <w:r>
        <w:rPr>
          <w:rFonts w:ascii="Noto Sans" w:hAnsi="Noto Sans" w:cs="Noto Sans"/>
          <w:sz w:val="21"/>
          <w:szCs w:val="21"/>
        </w:rPr>
        <w:lastRenderedPageBreak/>
        <w:t>literature review describes the research object and validates the demand for the raised hypothesis. Although the literature review part could be improved including at least some of the newest research results for example from the last two-three years.</w:t>
      </w:r>
      <w:r>
        <w:rPr>
          <w:rFonts w:ascii="Noto Sans" w:hAnsi="Noto Sans" w:cs="Noto Sans"/>
          <w:sz w:val="21"/>
          <w:szCs w:val="21"/>
        </w:rPr>
        <w:br/>
        <w:t>The research methodology is quite good written and explains some research construction aspects. Although, There would be recommended reverting presented information. It could be started from the description and validation of the research method and the research respondents' characteristics could be presented at the end of the methodological part. At the same time it is not enough to clarify why the research was made in Central Java, how this region is specific. It would be recommended to present and validate the sample size of the research because it is not clear why the researcher distributed 300 questionnaires and what was the aim of the research sample. Furthermore, the formation of a questionnaire and its validation is not explained or described, thus the reliability of the research could be discussed.</w:t>
      </w:r>
      <w:r>
        <w:rPr>
          <w:rFonts w:ascii="Noto Sans" w:hAnsi="Noto Sans" w:cs="Noto Sans"/>
          <w:sz w:val="21"/>
          <w:szCs w:val="21"/>
        </w:rPr>
        <w:br/>
        <w:t>The research results are presented clearly and have a great description. The same could be said about conclusions and limitations. The article itself is creating value to science and practice thus I would recommend publishing it after the improvement of the methodological part.</w:t>
      </w:r>
    </w:p>
    <w:p w14:paraId="1C0FC301"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Recommendation: Accept Submission</w:t>
      </w:r>
      <w:r>
        <w:rPr>
          <w:rFonts w:ascii="Noto Sans" w:hAnsi="Noto Sans" w:cs="Noto Sans"/>
          <w:sz w:val="21"/>
          <w:szCs w:val="21"/>
        </w:rPr>
        <w:br/>
      </w:r>
      <w:r>
        <w:rPr>
          <w:rFonts w:ascii="Noto Sans" w:hAnsi="Noto Sans" w:cs="Noto Sans"/>
          <w:sz w:val="21"/>
          <w:szCs w:val="21"/>
        </w:rPr>
        <w:br/>
        <w:t>------------------------------------------------------</w:t>
      </w:r>
      <w:r>
        <w:rPr>
          <w:rFonts w:ascii="Noto Sans" w:hAnsi="Noto Sans" w:cs="Noto Sans"/>
          <w:sz w:val="21"/>
          <w:szCs w:val="21"/>
        </w:rPr>
        <w:br/>
      </w:r>
      <w:r>
        <w:rPr>
          <w:rFonts w:ascii="Noto Sans" w:hAnsi="Noto Sans" w:cs="Noto Sans"/>
          <w:sz w:val="21"/>
          <w:szCs w:val="21"/>
        </w:rPr>
        <w:br/>
      </w:r>
      <w:r>
        <w:rPr>
          <w:rFonts w:ascii="Noto Sans" w:hAnsi="Noto Sans" w:cs="Noto Sans"/>
          <w:sz w:val="21"/>
          <w:szCs w:val="21"/>
        </w:rPr>
        <w:br/>
      </w:r>
      <w:r>
        <w:rPr>
          <w:rFonts w:ascii="Noto Sans" w:hAnsi="Noto Sans" w:cs="Noto Sans"/>
          <w:sz w:val="21"/>
          <w:szCs w:val="21"/>
        </w:rPr>
        <w:br/>
        <w:t>------------------------------------------------------</w:t>
      </w:r>
      <w:r>
        <w:rPr>
          <w:rFonts w:ascii="Noto Sans" w:hAnsi="Noto Sans" w:cs="Noto Sans"/>
          <w:sz w:val="21"/>
          <w:szCs w:val="21"/>
        </w:rPr>
        <w:br/>
        <w:t>Reviewer B:</w:t>
      </w:r>
    </w:p>
    <w:p w14:paraId="23B8B70F"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The paper as it stands is promising. It deals with important issue of competitiveness and human resources management via analysis of factors influencing post offices employees performance. At the same time, some important issues are not met requirements of the Journal.</w:t>
      </w:r>
    </w:p>
    <w:p w14:paraId="00538F0C"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First of all, research aim and tasks should be noted at the end of Introduction. In present form this section is devoted only to actuality of the body of knowledge and current theoretical background of performance factors analysis.</w:t>
      </w:r>
    </w:p>
    <w:p w14:paraId="20A3759C"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The Methodology section should clearly emphasize state all details of sociological review - some essential details are missed, e.g. dates of review (in data and sample description), methods of responces esteemation (Likert scale or other subjective self-esteem scale) - it causes misunderstanding in results interpretation. It is unconvinsing also that 158 employees really involved to the review are enough represantative sample. Some concerns are caused because of absence of information about total ammount of the target group. In this regard it is advisable also to make changes in Abstract, where authors stress on "223 involved participants" instead of 158 respondents whose esteems were used for analysis considering some restrictions declared by authors.</w:t>
      </w:r>
    </w:p>
    <w:p w14:paraId="39E3A8A2"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Authors mainly provide suitable reference to other works analyzing theoretical background and empirical results.  However, references to current works indexed in Scopus/Wos databases are advisable too in “Conclusion and research implication” section. The current trends in HRM practices are closely connected with personnel learning using internal tools and systems. Kindly note, that a lot of scientific publications are devoted to appropriate links of learning practices with performance both personnel and organizational (e.g. “Changes in approach to employee development in organizations on a regional scale”; “Knowledge management systems: Issues in enterprise human capital management implementation in transition economy”;“Linking transformational leadership and organizational performance: an empirical investigation of manufacturing firms in Vietnam”). Authors could refer to these and other works in order to strengthen their recommendations on learning practices implementation.</w:t>
      </w:r>
    </w:p>
    <w:p w14:paraId="6DC9113C"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Finally, some style and technical notes should be mentioned. Sometimes, the paper is percepted as not a coherent text but rather as a compilation of ideas and results - it is especially evident in hypotheses formulation. Before them there is an obvious lack of flow. Tables 3 and 4 haven't titles of columns with variables (Table 3), incl. their links (Table 4).</w:t>
      </w:r>
    </w:p>
    <w:p w14:paraId="55A72873"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In general, the paper is scientifically sound, conclusions are in line with main findings and hypotheses. It is acceptable for publishing after minor revision.</w:t>
      </w:r>
    </w:p>
    <w:p w14:paraId="08C7B526"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 </w:t>
      </w:r>
    </w:p>
    <w:p w14:paraId="707D1F76" w14:textId="77777777" w:rsidR="00917F33" w:rsidRDefault="00917F33" w:rsidP="00917F33">
      <w:pPr>
        <w:pStyle w:val="NormalWeb"/>
        <w:rPr>
          <w:rFonts w:ascii="Noto Sans" w:hAnsi="Noto Sans" w:cs="Noto Sans"/>
          <w:sz w:val="21"/>
          <w:szCs w:val="21"/>
        </w:rPr>
      </w:pPr>
      <w:r>
        <w:rPr>
          <w:rFonts w:ascii="Noto Sans" w:hAnsi="Noto Sans" w:cs="Noto Sans"/>
          <w:sz w:val="21"/>
          <w:szCs w:val="21"/>
        </w:rPr>
        <w:t>Recommendation: Revisions Required</w:t>
      </w:r>
    </w:p>
    <w:p w14:paraId="1076B126" w14:textId="77777777" w:rsidR="00917F33" w:rsidRDefault="00917F33"/>
    <w:p w14:paraId="4005A8C3" w14:textId="73FFECBC" w:rsidR="00917F33" w:rsidRDefault="00917F33">
      <w:r>
        <w:rPr>
          <w:noProof/>
        </w:rPr>
        <w:drawing>
          <wp:inline distT="0" distB="0" distL="0" distR="0" wp14:anchorId="7E695BDF" wp14:editId="2437E49F">
            <wp:extent cx="6419850"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19850" cy="4181475"/>
                    </a:xfrm>
                    <a:prstGeom prst="rect">
                      <a:avLst/>
                    </a:prstGeom>
                  </pic:spPr>
                </pic:pic>
              </a:graphicData>
            </a:graphic>
          </wp:inline>
        </w:drawing>
      </w:r>
    </w:p>
    <w:p w14:paraId="0CBE2C77" w14:textId="35179848" w:rsidR="00917F33" w:rsidRPr="00917F33" w:rsidRDefault="00917F33">
      <w:pPr>
        <w:rPr>
          <w:rFonts w:ascii="Noto Sans" w:hAnsi="Noto Sans" w:cs="Noto Sans"/>
          <w:sz w:val="28"/>
          <w:szCs w:val="28"/>
          <w:shd w:val="clear" w:color="auto" w:fill="FFFFFF"/>
        </w:rPr>
      </w:pPr>
      <w:r w:rsidRPr="00917F33">
        <w:rPr>
          <w:rFonts w:ascii="Noto Sans" w:hAnsi="Noto Sans" w:cs="Noto Sans"/>
          <w:sz w:val="28"/>
          <w:szCs w:val="28"/>
          <w:shd w:val="clear" w:color="auto" w:fill="FFFFFF"/>
        </w:rPr>
        <w:t>2020-07-15 03:57 PM</w:t>
      </w:r>
    </w:p>
    <w:p w14:paraId="6539D10E" w14:textId="51C89C31" w:rsidR="00917F33" w:rsidRDefault="00917F33">
      <w:pPr>
        <w:rPr>
          <w:rFonts w:ascii="Noto Sans" w:hAnsi="Noto Sans" w:cs="Noto Sans"/>
          <w:sz w:val="21"/>
          <w:szCs w:val="21"/>
          <w:shd w:val="clear" w:color="auto" w:fill="EEEEEE"/>
        </w:rPr>
      </w:pPr>
      <w:r>
        <w:rPr>
          <w:rFonts w:ascii="Noto Sans" w:hAnsi="Noto Sans" w:cs="Noto Sans"/>
          <w:sz w:val="21"/>
          <w:szCs w:val="21"/>
          <w:shd w:val="clear" w:color="auto" w:fill="EEEEEE"/>
        </w:rPr>
        <w:t>Fitri Wulandari:</w:t>
      </w:r>
      <w:r>
        <w:rPr>
          <w:rFonts w:ascii="Noto Sans" w:hAnsi="Noto Sans" w:cs="Noto Sans"/>
          <w:sz w:val="21"/>
          <w:szCs w:val="21"/>
        </w:rPr>
        <w:br/>
      </w:r>
      <w:r>
        <w:rPr>
          <w:rFonts w:ascii="Noto Sans" w:hAnsi="Noto Sans" w:cs="Noto Sans"/>
          <w:sz w:val="21"/>
          <w:szCs w:val="21"/>
        </w:rPr>
        <w:br/>
      </w:r>
      <w:r>
        <w:rPr>
          <w:rFonts w:ascii="Noto Sans" w:hAnsi="Noto Sans" w:cs="Noto Sans"/>
          <w:sz w:val="21"/>
          <w:szCs w:val="21"/>
          <w:shd w:val="clear" w:color="auto" w:fill="EEEEEE"/>
        </w:rPr>
        <w:t>We have reached a decision regarding your submission to Business: Theory and Practice, "THE MEDIATING ROLES OF PRO-COMMITMENT TO LEARNING AND ADAPTABILITY TO TECHNOLOGICAL CHANGE: PROFESSIONAL EXPERIENCE PORTFOLIO TOWARD EMPLOYEE PERFORMANCE".</w:t>
      </w:r>
      <w:r>
        <w:rPr>
          <w:rFonts w:ascii="Noto Sans" w:hAnsi="Noto Sans" w:cs="Noto Sans"/>
          <w:sz w:val="21"/>
          <w:szCs w:val="21"/>
        </w:rPr>
        <w:br/>
      </w:r>
      <w:r>
        <w:rPr>
          <w:rFonts w:ascii="Noto Sans" w:hAnsi="Noto Sans" w:cs="Noto Sans"/>
          <w:sz w:val="21"/>
          <w:szCs w:val="21"/>
        </w:rPr>
        <w:br/>
      </w:r>
      <w:r>
        <w:rPr>
          <w:rFonts w:ascii="Noto Sans" w:hAnsi="Noto Sans" w:cs="Noto Sans"/>
          <w:sz w:val="21"/>
          <w:szCs w:val="21"/>
          <w:shd w:val="clear" w:color="auto" w:fill="EEEEEE"/>
        </w:rPr>
        <w:t>Our decision is to: Accept Submission</w:t>
      </w:r>
      <w:r>
        <w:rPr>
          <w:rFonts w:ascii="Noto Sans" w:hAnsi="Noto Sans" w:cs="Noto Sans"/>
          <w:sz w:val="21"/>
          <w:szCs w:val="21"/>
        </w:rPr>
        <w:br/>
      </w:r>
      <w:r>
        <w:rPr>
          <w:rFonts w:ascii="Noto Sans" w:hAnsi="Noto Sans" w:cs="Noto Sans"/>
          <w:sz w:val="21"/>
          <w:szCs w:val="21"/>
        </w:rPr>
        <w:br/>
      </w:r>
      <w:r>
        <w:rPr>
          <w:rFonts w:ascii="Noto Sans" w:hAnsi="Noto Sans" w:cs="Noto Sans"/>
          <w:sz w:val="21"/>
          <w:szCs w:val="21"/>
          <w:shd w:val="clear" w:color="auto" w:fill="EEEEEE"/>
        </w:rPr>
        <w:t>Živil</w:t>
      </w:r>
      <w:r>
        <w:rPr>
          <w:rFonts w:ascii="Calibri" w:hAnsi="Calibri" w:cs="Calibri"/>
          <w:sz w:val="21"/>
          <w:szCs w:val="21"/>
          <w:shd w:val="clear" w:color="auto" w:fill="EEEEEE"/>
        </w:rPr>
        <w:t>ė</w:t>
      </w:r>
      <w:r>
        <w:rPr>
          <w:rFonts w:ascii="Noto Sans" w:hAnsi="Noto Sans" w:cs="Noto Sans"/>
          <w:sz w:val="21"/>
          <w:szCs w:val="21"/>
          <w:shd w:val="clear" w:color="auto" w:fill="EEEEEE"/>
        </w:rPr>
        <w:t xml:space="preserve"> Tun</w:t>
      </w:r>
      <w:r>
        <w:rPr>
          <w:rFonts w:ascii="Calibri" w:hAnsi="Calibri" w:cs="Calibri"/>
          <w:sz w:val="21"/>
          <w:szCs w:val="21"/>
          <w:shd w:val="clear" w:color="auto" w:fill="EEEEEE"/>
        </w:rPr>
        <w:t>č</w:t>
      </w:r>
      <w:r>
        <w:rPr>
          <w:rFonts w:ascii="Noto Sans" w:hAnsi="Noto Sans" w:cs="Noto Sans"/>
          <w:sz w:val="21"/>
          <w:szCs w:val="21"/>
          <w:shd w:val="clear" w:color="auto" w:fill="EEEEEE"/>
        </w:rPr>
        <w:t>ikien</w:t>
      </w:r>
      <w:r>
        <w:rPr>
          <w:rFonts w:ascii="Calibri" w:hAnsi="Calibri" w:cs="Calibri"/>
          <w:sz w:val="21"/>
          <w:szCs w:val="21"/>
          <w:shd w:val="clear" w:color="auto" w:fill="EEEEEE"/>
        </w:rPr>
        <w:t>ė</w:t>
      </w:r>
      <w:r>
        <w:rPr>
          <w:rFonts w:ascii="Noto Sans" w:hAnsi="Noto Sans" w:cs="Noto Sans"/>
          <w:sz w:val="21"/>
          <w:szCs w:val="21"/>
        </w:rPr>
        <w:br/>
      </w:r>
      <w:hyperlink r:id="rId8" w:history="1">
        <w:r w:rsidRPr="00764B53">
          <w:rPr>
            <w:rStyle w:val="Hyperlink"/>
            <w:rFonts w:ascii="Noto Sans" w:hAnsi="Noto Sans" w:cs="Noto Sans"/>
            <w:sz w:val="21"/>
            <w:szCs w:val="21"/>
            <w:shd w:val="clear" w:color="auto" w:fill="EEEEEE"/>
          </w:rPr>
          <w:t>btp@vgtu.lt</w:t>
        </w:r>
      </w:hyperlink>
    </w:p>
    <w:p w14:paraId="61946EA8" w14:textId="181CECB4" w:rsidR="00917F33" w:rsidRDefault="00917F33">
      <w:pPr>
        <w:rPr>
          <w:rFonts w:ascii="Noto Sans" w:hAnsi="Noto Sans" w:cs="Noto Sans"/>
          <w:sz w:val="21"/>
          <w:szCs w:val="21"/>
          <w:shd w:val="clear" w:color="auto" w:fill="EEEEEE"/>
        </w:rPr>
      </w:pPr>
    </w:p>
    <w:p w14:paraId="28B17442" w14:textId="3AC5CAAA" w:rsidR="00917F33" w:rsidRDefault="00917F33">
      <w:pPr>
        <w:rPr>
          <w:rFonts w:ascii="Noto Sans" w:hAnsi="Noto Sans" w:cs="Noto Sans"/>
          <w:sz w:val="21"/>
          <w:szCs w:val="21"/>
          <w:shd w:val="clear" w:color="auto" w:fill="EEEEEE"/>
        </w:rPr>
      </w:pPr>
    </w:p>
    <w:p w14:paraId="50FCA88F" w14:textId="07DB56C3" w:rsidR="00917F33" w:rsidRDefault="00917F33">
      <w:pPr>
        <w:rPr>
          <w:rFonts w:ascii="Noto Sans" w:hAnsi="Noto Sans" w:cs="Noto Sans"/>
          <w:sz w:val="21"/>
          <w:szCs w:val="21"/>
          <w:shd w:val="clear" w:color="auto" w:fill="EEEEEE"/>
        </w:rPr>
      </w:pPr>
    </w:p>
    <w:p w14:paraId="049C1E08" w14:textId="7438CC4E" w:rsidR="00917F33" w:rsidRDefault="00917F33">
      <w:pPr>
        <w:rPr>
          <w:rFonts w:ascii="Noto Sans" w:hAnsi="Noto Sans" w:cs="Noto Sans"/>
          <w:sz w:val="21"/>
          <w:szCs w:val="21"/>
          <w:shd w:val="clear" w:color="auto" w:fill="EEEEEE"/>
        </w:rPr>
      </w:pPr>
    </w:p>
    <w:p w14:paraId="4202BD67" w14:textId="7E28F600" w:rsidR="00917F33" w:rsidRDefault="00917F33">
      <w:pPr>
        <w:rPr>
          <w:rFonts w:ascii="Noto Sans" w:hAnsi="Noto Sans" w:cs="Noto Sans"/>
          <w:sz w:val="21"/>
          <w:szCs w:val="21"/>
          <w:shd w:val="clear" w:color="auto" w:fill="EEEEEE"/>
        </w:rPr>
      </w:pPr>
    </w:p>
    <w:p w14:paraId="04725930" w14:textId="66889910" w:rsidR="00917F33" w:rsidRDefault="00917F33">
      <w:pPr>
        <w:rPr>
          <w:rFonts w:ascii="Noto Sans" w:hAnsi="Noto Sans" w:cs="Noto Sans"/>
          <w:sz w:val="21"/>
          <w:szCs w:val="21"/>
          <w:shd w:val="clear" w:color="auto" w:fill="EEEEEE"/>
        </w:rPr>
      </w:pPr>
    </w:p>
    <w:p w14:paraId="2164E3F0" w14:textId="633142C9" w:rsidR="00917F33" w:rsidRPr="00917F33" w:rsidRDefault="00917F33">
      <w:pPr>
        <w:rPr>
          <w:rFonts w:ascii="Noto Sans" w:hAnsi="Noto Sans" w:cs="Noto Sans"/>
          <w:b/>
          <w:bCs/>
          <w:sz w:val="28"/>
          <w:szCs w:val="28"/>
          <w:shd w:val="clear" w:color="auto" w:fill="FFFFFF"/>
        </w:rPr>
      </w:pPr>
      <w:r w:rsidRPr="00917F33">
        <w:rPr>
          <w:rFonts w:ascii="Noto Sans" w:hAnsi="Noto Sans" w:cs="Noto Sans"/>
          <w:b/>
          <w:bCs/>
          <w:sz w:val="28"/>
          <w:szCs w:val="28"/>
          <w:shd w:val="clear" w:color="auto" w:fill="FFFFFF"/>
        </w:rPr>
        <w:t>July 14, 2020</w:t>
      </w:r>
    </w:p>
    <w:p w14:paraId="6B118DC6" w14:textId="77777777" w:rsidR="00917F33" w:rsidRDefault="00917F33" w:rsidP="00917F33">
      <w:pPr>
        <w:pStyle w:val="Manuscripttitle"/>
      </w:pPr>
      <w:r w:rsidRPr="00C4333B">
        <w:rPr>
          <w:lang w:val="en-US"/>
        </w:rPr>
        <w:t>THE MEDIATING ROLES OF PRO-COMMITMENT TO LEARNING AND ADAPTABILITY TO TECHNOLOGICAL CHANGE</w:t>
      </w:r>
      <w:r>
        <w:rPr>
          <w:lang w:val="en-US"/>
        </w:rPr>
        <w:t>:</w:t>
      </w:r>
      <w:r w:rsidRPr="00C4333B">
        <w:rPr>
          <w:lang w:val="en-US"/>
        </w:rPr>
        <w:t xml:space="preserve"> PROFE</w:t>
      </w:r>
      <w:r w:rsidRPr="00C4333B">
        <w:t>S</w:t>
      </w:r>
      <w:r w:rsidRPr="00C4333B">
        <w:rPr>
          <w:lang w:val="en-US"/>
        </w:rPr>
        <w:t>SIONAL EXPERIENCE PORTFOLIO TOWARD EMPLOYEE PERFORMANCE</w:t>
      </w:r>
    </w:p>
    <w:p w14:paraId="1B78C2F8" w14:textId="77777777" w:rsidR="00917F33" w:rsidRPr="009D0294" w:rsidRDefault="00917F33" w:rsidP="00917F33">
      <w:pPr>
        <w:pStyle w:val="Receiveddates"/>
        <w:rPr>
          <w:sz w:val="18"/>
          <w:szCs w:val="18"/>
        </w:rPr>
      </w:pPr>
      <w:r>
        <w:t>Received</w:t>
      </w:r>
      <w:r w:rsidRPr="002A263C">
        <w:t xml:space="preserve"> </w:t>
      </w:r>
      <w:r>
        <w:t>day month year;</w:t>
      </w:r>
      <w:r w:rsidRPr="002A263C">
        <w:t xml:space="preserve"> accepted date (</w:t>
      </w:r>
      <w:r>
        <w:t xml:space="preserve">use style Received </w:t>
      </w:r>
      <w:r w:rsidRPr="00C61858">
        <w:rPr>
          <w:sz w:val="18"/>
          <w:szCs w:val="18"/>
        </w:rPr>
        <w:t>dates, or Alt + Ctrl + R)</w:t>
      </w:r>
    </w:p>
    <w:p w14:paraId="02DC5613" w14:textId="77777777" w:rsidR="00917F33" w:rsidRPr="009D0294" w:rsidRDefault="00917F33" w:rsidP="00917F33">
      <w:pPr>
        <w:pStyle w:val="Abstract"/>
      </w:pPr>
      <w:r>
        <w:rPr>
          <w:b/>
          <w:bCs/>
          <w:szCs w:val="18"/>
          <w:lang w:val="en-US"/>
        </w:rPr>
        <w:t>Abstract</w:t>
      </w:r>
      <w:r w:rsidRPr="00C61858">
        <w:rPr>
          <w:b/>
          <w:bCs/>
          <w:szCs w:val="18"/>
          <w:lang w:val="en-US"/>
        </w:rPr>
        <w:t xml:space="preserve">. </w:t>
      </w:r>
      <w:r w:rsidRPr="003A6329">
        <w:t xml:space="preserve">To overcome the problem of declining performance, organizations need a variety of professional experience portfolio and strong pro-commitment to learning in addition to the need for employees to adapt to various changes, especially technological changes. Adopting the role of organizational learning theory and human capital, this study aims to analyse the pro-commitment to learning and adaptability to change whether it is able to mediate the influence of the professional experience portfolio on employee performance. The sample of this research consists </w:t>
      </w:r>
      <w:r w:rsidRPr="003A6329">
        <w:rPr>
          <w:lang w:val="en-AU"/>
        </w:rPr>
        <w:t xml:space="preserve">of the </w:t>
      </w:r>
      <w:r w:rsidRPr="003A6329">
        <w:t>managers and supervisors at PT POS Region VI in Indonesia. Using stratified random sampling, this research sample involves 223</w:t>
      </w:r>
      <w:r w:rsidRPr="003A6329">
        <w:rPr>
          <w:lang w:val="en-AU"/>
        </w:rPr>
        <w:t xml:space="preserve"> participants</w:t>
      </w:r>
      <w:r w:rsidRPr="003A6329">
        <w:rPr>
          <w:color w:val="FF0000"/>
        </w:rPr>
        <w:t xml:space="preserve">. </w:t>
      </w:r>
      <w:r w:rsidRPr="003A6329">
        <w:t>Research data were analysed using Equation Model (SEM)</w:t>
      </w:r>
      <w:r w:rsidRPr="003A6329">
        <w:rPr>
          <w:color w:val="FF0000"/>
        </w:rPr>
        <w:t xml:space="preserve">. </w:t>
      </w:r>
      <w:r w:rsidRPr="003A6329">
        <w:t xml:space="preserve">The results show that there are positive and significant influences of all </w:t>
      </w:r>
      <w:r w:rsidRPr="003A6329">
        <w:rPr>
          <w:lang w:val="en-AU"/>
        </w:rPr>
        <w:t xml:space="preserve">of </w:t>
      </w:r>
      <w:r w:rsidRPr="003A6329">
        <w:t xml:space="preserve">the variables studied, except for the direct effect of the professional experience portfolio on employee performance. Thus, the role of pro-commitment to </w:t>
      </w:r>
      <w:r w:rsidRPr="003A6329">
        <w:rPr>
          <w:lang w:val="en-AU"/>
        </w:rPr>
        <w:t>l</w:t>
      </w:r>
      <w:r w:rsidRPr="003A6329">
        <w:t xml:space="preserve">earning mediation and adaptability to technological change </w:t>
      </w:r>
      <w:r w:rsidRPr="003A6329">
        <w:rPr>
          <w:lang w:val="en-AU"/>
        </w:rPr>
        <w:t>are</w:t>
      </w:r>
      <w:r w:rsidRPr="003A6329">
        <w:t xml:space="preserve"> fully mediating variables on the effect of professional experience portfolio toward employee performance. It takes an appropriate linear and cross-field experience for managers and supervisors to increase innovative new opportunities through strength of commitment to learning and readiness in encountering technological changes so that companies can survive </w:t>
      </w:r>
      <w:r w:rsidRPr="003A6329">
        <w:rPr>
          <w:lang w:val="en-AU"/>
        </w:rPr>
        <w:t>amidst</w:t>
      </w:r>
      <w:r w:rsidRPr="003A6329">
        <w:t xml:space="preserve"> sharp competition.</w:t>
      </w:r>
    </w:p>
    <w:p w14:paraId="59DED04C" w14:textId="77777777" w:rsidR="00917F33" w:rsidRPr="00921FB7" w:rsidRDefault="00917F33" w:rsidP="00917F33">
      <w:pPr>
        <w:pStyle w:val="Keywords"/>
      </w:pPr>
      <w:r w:rsidRPr="00921FB7">
        <w:t>Keywords: Experience, Pro-Commitment to Learning, Adaptability, Performance</w:t>
      </w:r>
    </w:p>
    <w:p w14:paraId="53E9D2B2" w14:textId="77777777" w:rsidR="00917F33" w:rsidRDefault="00917F33" w:rsidP="00917F33">
      <w:pPr>
        <w:pStyle w:val="Keywords"/>
      </w:pPr>
      <w:r>
        <w:t>JEL Classification: M51, M53, M54</w:t>
      </w:r>
    </w:p>
    <w:p w14:paraId="4C44D466" w14:textId="77777777" w:rsidR="00917F33" w:rsidRPr="00D625FA" w:rsidRDefault="00917F33" w:rsidP="00917F33">
      <w:pPr>
        <w:pStyle w:val="Heading1"/>
        <w:rPr>
          <w:lang w:val="en-US"/>
        </w:rPr>
      </w:pPr>
      <w:r w:rsidRPr="00D625FA">
        <w:rPr>
          <w:lang w:val="en-US"/>
        </w:rPr>
        <w:t>Introduction</w:t>
      </w:r>
    </w:p>
    <w:p w14:paraId="07952FD0" w14:textId="77777777" w:rsidR="00917F33" w:rsidRPr="00656FA7" w:rsidRDefault="00917F33" w:rsidP="00917F33">
      <w:pPr>
        <w:pStyle w:val="Paragraphbody"/>
      </w:pPr>
      <w:r w:rsidRPr="00F63683">
        <w:t xml:space="preserve">In the era of globalization, the ever-changing business environment, with more stringent competition and increasing consumer demand particularly over the last few years, has shifted the issues related to employee competency significantly. The key to a company’s success is the presence of employees who are competent and flexible in facing changes </w:t>
      </w:r>
      <w:r w:rsidRPr="002634A1">
        <w:fldChar w:fldCharType="begin" w:fldLock="1"/>
      </w:r>
      <w:r w:rsidRPr="00F63683">
        <w:instrText>ADDIN CSL_CITATION { "citationItems" : [ { "id" : "ITEM-1", "itemData" : { "DOI" : "10.1016/S2212-5671(15)00979-X", "ISSN" : "22125671", "abstract" : "In the article, authors try to prove how important role, management of employees commitment plays in the process of organization transformation and how significantly it is affected by the effective communication and supporting managers by the proper tools. In the first two sections, theoretical considerations on building employees commitment and management were presented. In the next section, based on analysis of documentation and observation, the ways to build employees commitment in the process of transformation of cross-border organization were identified.", "author" : [ { "dropping-particle" : "", "family" : "Brzezi\u0144ski", "given" : "Stanis\u0142aw", "non-dropping-particle" : "", "parse-names" : false, "suffix" : "" }, { "dropping-particle" : "", "family" : "B\u0105k", "given" : "Agnieszka", "non-dropping-particle" : "", "parse-names" : false, "suffix" : "" } ], "container-title" : "Procedia Economics and Finance", "id" : "ITEM-1", "issue" : "15", "issued" : { "date-parts" : [ [ "2015" ] ] }, "page" : "109-115", "title" : "Management of employees\u2019 commitment in the process of organization transformation", "type" : "paper-conference", "volume" : "27" }, "uris" : [ "http://www.mendeley.com/documents/?uuid=915e878c-8c79-432c-84ca-c82f13e64cdf" ] } ], "mendeley" : { "formattedCitation" : "(Brzezi\u0144ski &amp; B\u0105k, 2015)", "manualFormatting" : "Brzezi\u0144ski and B\u0105k (2015)", "plainTextFormattedCitation" : "(Brzezi\u0144ski &amp; B\u0105k, 2015)", "previouslyFormattedCitation" : "(Brzezi\u0144ski &amp; B\u0105k, 2015)" }, "properties" : { "noteIndex" : 0 }, "schema" : "https://github.com/citation-style-language/schema/raw/master/csl-citation.json" }</w:instrText>
      </w:r>
      <w:r w:rsidRPr="002634A1">
        <w:fldChar w:fldCharType="separate"/>
      </w:r>
      <w:r w:rsidRPr="00F63683">
        <w:rPr>
          <w:noProof/>
        </w:rPr>
        <w:t>Brzeziński and Bąk (2015)</w:t>
      </w:r>
      <w:r w:rsidRPr="002634A1">
        <w:fldChar w:fldCharType="end"/>
      </w:r>
      <w:r w:rsidRPr="00656FA7">
        <w:t xml:space="preserve">. According to </w:t>
      </w:r>
      <w:r w:rsidRPr="00656FA7">
        <w:fldChar w:fldCharType="begin" w:fldLock="1"/>
      </w:r>
      <w:r w:rsidRPr="00656FA7">
        <w:instrText>ADDIN CSL_CITATION { "citationItems" : [ { "id" : "ITEM-1", "itemData" : { "author" : [ { "dropping-particle" : "", "family" : "Kumar", "given" : "M", "non-dropping-particle" : "", "parse-names" : false, "suffix" : "" }, { "dropping-particle" : "", "family" : "Chengappa", "given" : "Sashidhar", "non-dropping-particle" : "", "parse-names" : false, "suffix" : "" }, { "dropping-particle" : "", "family" : "Pandya", "given" : "Srota", "non-dropping-particle" : "", "parse-names" : false, "suffix" : "" } ], "container-title" : "International Journal of Management and Social Sciences Research", "id" : "ITEM-1", "issue" : "2", "issued" : { "date-parts" : [ [ "2013" ] ] }, "page" : "27-28", "title" : "Capability development: Enhancing employee potential through strategic competency building and people development", "type" : "article-journal", "volume" : "2" }, "uris" : [ "http://www.mendeley.com/documents/?uuid=82fd9671-5f47-4998-a8d9-23c8c12d3c00" ] } ], "mendeley" : { "formattedCitation" : "(Kumar et al., 2013)", "manualFormatting" : "Kumar, Chengappa and Pandya (2013)", "plainTextFormattedCitation" : "(Kumar et al., 2013)", "previouslyFormattedCitation" : "(Kumar et al., 2013)" }, "properties" : { "noteIndex" : 0 }, "schema" : "https://github.com/citation-style-language/schema/raw/master/csl-citation.json" }</w:instrText>
      </w:r>
      <w:r w:rsidRPr="00656FA7">
        <w:fldChar w:fldCharType="separate"/>
      </w:r>
      <w:r w:rsidRPr="00656FA7">
        <w:rPr>
          <w:noProof/>
        </w:rPr>
        <w:t>Kumar, Chengappa and Pandya (2013)</w:t>
      </w:r>
      <w:r w:rsidRPr="00656FA7">
        <w:fldChar w:fldCharType="end"/>
      </w:r>
      <w:r w:rsidRPr="00656FA7">
        <w:t xml:space="preserve">, an organization needs to be able to successfully adapt to market changes. This successful adaptation depends on how ready employees are to face changes. </w:t>
      </w:r>
    </w:p>
    <w:p w14:paraId="0158017A" w14:textId="77777777" w:rsidR="00917F33" w:rsidRPr="00656FA7" w:rsidRDefault="00917F33" w:rsidP="00917F33">
      <w:pPr>
        <w:pStyle w:val="Paragraphbody"/>
      </w:pPr>
      <w:r w:rsidRPr="00656FA7">
        <w:t xml:space="preserve">Adaptation is needed to cope with task changes which are sometimes unpredictable, and which may be seen as unusual as a result of unexpected changes </w:t>
      </w:r>
      <w:r w:rsidRPr="00656FA7">
        <w:fldChar w:fldCharType="begin" w:fldLock="1"/>
      </w:r>
      <w:r w:rsidRPr="00656FA7">
        <w:instrText>ADDIN CSL_CITATION { "citationItems" : [ { "id" : "ITEM-1", "itemData" : { "author" : [ { "dropping-particle" : "", "family" : "Omar", "given" : "Safiah", "non-dropping-particle" : "", "parse-names" : false, "suffix" : "" }, { "dropping-particle" : "", "family" : "Noordin", "given" : "Fauziah", "non-dropping-particle" : "", "parse-names" : false, "suffix" : "" } ], "container-title" : "Procedia Economics and Finance", "id" : "ITEM-1", "issued" : { "date-parts" : [ [ "2016" ] ] }, "page" : "529-537", "publisher" : "Elsevier B.V", "title" : "Moderator influences on individualism-collectivism and career adaptability among ICT professionals in Malaysia", "type" : "paper-conference", "volume" : "37" }, "uris" : [ "http://www.mendeley.com/documents/?uuid=c2451064-0a41-4751-ab8f-02ca8c3f639e" ] } ], "mendeley" : { "formattedCitation" : "(Omar &amp; Noordin, 2016)", "plainTextFormattedCitation" : "(Omar &amp; Noordin, 2016)", "previouslyFormattedCitation" : "(Omar &amp; Noordin, 2016)" }, "properties" : { "noteIndex" : 0 }, "schema" : "https://github.com/citation-style-language/schema/raw/master/csl-citation.json" }</w:instrText>
      </w:r>
      <w:r w:rsidRPr="00656FA7">
        <w:fldChar w:fldCharType="separate"/>
      </w:r>
      <w:r w:rsidRPr="00656FA7">
        <w:rPr>
          <w:noProof/>
        </w:rPr>
        <w:t>(Omar &amp; Noordin, 2016)</w:t>
      </w:r>
      <w:r w:rsidRPr="00656FA7">
        <w:fldChar w:fldCharType="end"/>
      </w:r>
      <w:r w:rsidRPr="00656FA7">
        <w:t xml:space="preserve">. Employees are required to develop new skills, beyond the basic skills which tend to be static, because the company has to face market, knowledge and skills changes. </w:t>
      </w:r>
      <w:r w:rsidRPr="00656FA7">
        <w:fldChar w:fldCharType="begin" w:fldLock="1"/>
      </w:r>
      <w:r w:rsidRPr="00656FA7">
        <w:instrText>ADDIN CSL_CITATION { "citationItems" : [ { "id" : "ITEM-1", "itemData" : { "DOI" : "10.1016/j.jvb.2012.01.010", "ISBN" : "0001-8791", "ISSN" : "00018791", "abstract" : "The present study tested the reliability and validity of the Career Adapt-Ability Scale - Taiwan Form (CAAS-Taiwan Form). The CAAS consists of four scales, each with six items, which measure concern, control, curiosity, and confidence as psychosocial resources for managing occupational transitions, developmental tasks, and work traumas. Internal consistency estimates for the subscale and total scores were excellent. The factor structure was quite similar to the one computed for combined data from 13 countries. The CAAS-Taiwan Form is identical to the International Form 2.0. Based on the results, the CAAS-Taiwan Form, appears ready for use by researchers and practitioners who wish to measure adaptability resources among adults. ?? 2012 Elsevier Inc.", "author" : [ { "dropping-particle" : "", "family" : "Tien", "given" : "Hsiu Lan Shelley", "non-dropping-particle" : "", "parse-names" : false, "suffix" : "" }, { "dropping-particle" : "", "family" : "Wang", "given" : "Yu Chen", "non-dropping-particle" : "", "parse-names" : false, "suffix" : "" }, { "dropping-particle" : "", "family" : "Chu", "given" : "Hui Chuang", "non-dropping-particle" : "", "parse-names" : false, "suffix" : "" }, { "dropping-particle" : "", "family" : "Huang", "given" : "Tsu Lun", "non-dropping-particle" : "", "parse-names" : false, "suffix" : "" } ], "container-title" : "Journal of Vocational Behavior", "id" : "ITEM-1", "issue" : "3", "issued" : { "date-parts" : [ [ "2012" ] ] }, "page" : "744-747", "publisher" : "Elsevier Inc.", "title" : "Career Adapt-Abilities Scale - Taiwan Form: Psychometric properties and construct validity", "type" : "article-journal", "volume" : "80" }, "uris" : [ "http://www.mendeley.com/documents/?uuid=7909dbe0-b7ad-486c-b968-8697c42951f5" ] } ], "mendeley" : { "formattedCitation" : "(Tien et al., 2012)", "manualFormatting" : "Tien, Wang, Chu and Huang (2012)", "plainTextFormattedCitation" : "(Tien et al., 2012)", "previouslyFormattedCitation" : "(Tien et al., 2012)" }, "properties" : { "noteIndex" : 0 }, "schema" : "https://github.com/citation-style-language/schema/raw/master/csl-citation.json" }</w:instrText>
      </w:r>
      <w:r w:rsidRPr="00656FA7">
        <w:fldChar w:fldCharType="separate"/>
      </w:r>
      <w:r w:rsidRPr="00656FA7">
        <w:rPr>
          <w:noProof/>
        </w:rPr>
        <w:t>Tien, Wang, Chu and Huang (2012)</w:t>
      </w:r>
      <w:r w:rsidRPr="00656FA7">
        <w:fldChar w:fldCharType="end"/>
      </w:r>
      <w:r w:rsidRPr="00656FA7">
        <w:t xml:space="preserve"> state that the ability to adapt is an individual’s ability to change without great difficulty and be able to fit into new conditions. Adaptation means continuous change in response to new situations. At this time of the ubiquitous use of computers, the internet, and rapid development of artificial intelligence, the work environment is an ever-changing one in which information technology plays a vital role in strengthening a company's competitiveness. Companies are trying to increase the level of investment in them because information technology is not only acting to reduce costs, but also to enhance business performance </w:t>
      </w:r>
      <w:r w:rsidRPr="00656FA7">
        <w:fldChar w:fldCharType="begin" w:fldLock="1"/>
      </w:r>
      <w:r>
        <w:instrText>ADDIN CSL_CITATION { "citationItems" : [ { "id" : "ITEM-1", "itemData" : { "author" : [ { "dropping-particle" : "", "family" : "Lee", "given" : "Haewon", "non-dropping-particle" : "", "parse-names" : false, "suffix" : "" }, { "dropping-particle" : "", "family" : "Choi", "given" : "Hanbyeol", "non-dropping-particle" : "", "parse-names" : false, "suffix" : "" }, { "dropping-particle" : "", "family" : "Lee", "given" : "Junyeong", "non-dropping-particle" : "", "parse-names" : false, "suffix" : "" }, { "dropping-particle" : "", "family" : "Min", "given" : "Jinyoung", "non-dropping-particle" : "", "parse-names" : false, "suffix" : "" }, { "dropping-particle" : "", "family" : "Lee", "given" : "Heeseok", "non-dropping-particle" : "", "parse-names" : false, "suffix" : "" } ], "container-title" : "Procedia Computer Science", "id" : "ITEM-1", "issued" : { "date-parts" : [ [ "2016" ] ] }, "page" : "652-661", "title" : "Impact of IT investment on firm performance based on Technology IT Architecture", "type" : "paper-conference", "volume" : "91" }, "uris" : [ "http://www.mendeley.com/documents/?uuid=5b8e0548-4fce-4c4f-bfcc-3ddbce8e670f" ] }, { "id" : "ITEM-2", "itemData" : { "author" : [ { "dropping-particle" : "", "family" : "Razak", "given" : "Abdul Razif Abdul", "non-dropping-particle" : "", "parse-names" : false, "suffix" : "" }, { "dropping-particle" : "", "family" : "Othman", "given" : "Akmal Aini", "non-dropping-particle" : "", "parse-names" : false, "suffix" : "" }, { "dropping-particle" : "", "family" : "Sundram", "given" : "Veera Pandiyan Kaliani", "non-dropping-particle" : "", "parse-names" : false, "suffix" : "" } ], "container-title" : "Procedia Economics and Finance", "id" : "ITEM-2", "issued" : { "date-parts" : [ [ "2015" ] ] }, "page" : "354-360", "title" : "The relationships of human success factor, information technology, and procurement process coordination on operational performance in building construction industry \u2013 A proposed conceptual framework", "type" : "article-journal", "volume" : "31" }, "uris" : [ "http://www.mendeley.com/documents/?uuid=6c8f1854-edb9-4465-beb6-147f522f5b21" ] } ], "mendeley" : { "formattedCitation" : "(Lee et al., 2016; Razak et al., 2015)", "plainTextFormattedCitation" : "(Lee et al., 2016; Razak et al., 2015)", "previouslyFormattedCitation" : "(Lee et al., 2016; Razak et al., 2015)" }, "properties" : { "noteIndex" : 0 }, "schema" : "https://github.com/citation-style-language/schema/raw/master/csl-citation.json" }</w:instrText>
      </w:r>
      <w:r w:rsidRPr="00656FA7">
        <w:fldChar w:fldCharType="separate"/>
      </w:r>
      <w:r w:rsidRPr="00656FA7">
        <w:rPr>
          <w:noProof/>
        </w:rPr>
        <w:t>(Lee et al., 2016; Razak et al., 2015)</w:t>
      </w:r>
      <w:r w:rsidRPr="00656FA7">
        <w:fldChar w:fldCharType="end"/>
      </w:r>
      <w:r w:rsidRPr="00656FA7">
        <w:t xml:space="preserve">. </w:t>
      </w:r>
    </w:p>
    <w:p w14:paraId="283D60AA" w14:textId="77777777" w:rsidR="00917F33" w:rsidRPr="00F63683" w:rsidRDefault="00917F33" w:rsidP="00917F33">
      <w:pPr>
        <w:pStyle w:val="Paragraphbody"/>
      </w:pPr>
      <w:r w:rsidRPr="00F63683">
        <w:t>The research gap in this research is the professional experience portfolio towards employee performance. The term "Professional" carries the meaning of having a special skill or expertise achieved through formal and long-term training. The professional experience portfolio has an essential role in forcing employees to cope with changes. The influence of vari</w:t>
      </w:r>
      <w:r w:rsidRPr="00656FA7">
        <w:t>ed</w:t>
      </w:r>
      <w:r w:rsidRPr="00F63683">
        <w:t xml:space="preserve"> employee experience in improving employee performance has been investigated </w:t>
      </w:r>
      <w:r w:rsidRPr="00656FA7">
        <w:t>in</w:t>
      </w:r>
      <w:r w:rsidRPr="00F63683">
        <w:t xml:space="preserve"> previous research </w:t>
      </w:r>
      <w:r w:rsidRPr="00656FA7">
        <w:t>to show</w:t>
      </w:r>
      <w:r w:rsidRPr="00F63683">
        <w:t xml:space="preserve"> that the professional experience portfolio will improve employee performance  </w:t>
      </w:r>
      <w:r w:rsidRPr="002634A1">
        <w:fldChar w:fldCharType="begin" w:fldLock="1"/>
      </w:r>
      <w:r w:rsidRPr="00F63683">
        <w:instrText>ADDIN CSL_CITATION { "citationItems" : [ { "id" : "ITEM-1", "itemData" : { "author" : [ { "dropping-particle" : "", "family" : "Borgia", "given" : "Carl R.", "non-dropping-particle" : "", "parse-names" : false, "suffix" : "" }, { "dropping-particle" : "", "family" : "Siegel", "given" : "Philip H.", "non-dropping-particle" : "", "parse-names" : false, "suffix" : "" }, { "dropping-particle" : "", "family" : "Ortiz", "given" : "Dennis", "non-dropping-particle" : "", "parse-names" : false, "suffix" : "" } ], "container-title" : "Accounting Research Journal,", "id" : "ITEM-1", "issue" : "3", "issued" : { "date-parts" : [ [ "2014" ] ] }, "page" : "266-285", "title" : "A survival analysis of tax professionals\u2019 performance and internship experience", "type" : "article-journal", "volume" : "27" }, "uris" : [ "http://www.mendeley.com/documents/?uuid=7f523c6e-6dc9-42e9-93c6-c7b327803d8c" ] }, { "id" : "ITEM-2", "itemData" : { "DOI" : "10.1108/13620431211283779", "ISBN" : "1362043121128", "author" : [ { "dropping-particle" : "", "family" : "Mahony", "given" : "Douglas M", "non-dropping-particle" : "", "parse-names" : false, "suffix" : "" }, { "dropping-particle" : "", "family" : "Klimchak", "given" : "Malayka", "non-dropping-particle" : "", "parse-names" : false, "suffix" : "" }, { "dropping-particle" : "", "family" : "Morrell", "given" : "Daniel L", "non-dropping-particle" : "", "parse-names" : false, "suffix" : "" }, { "dropping-particle" : "", "family" : "Hill", "given" : "Rock", "non-dropping-particle" : "", "parse-names" : false, "suffix" : "" }, { "dropping-particle" : "", "family" : "Carolina", "given" : "South", "non-dropping-particle" : "", "parse-names" : false, "suffix" : "" } ], "container-title" : "Career Development International", "id" : "ITEM-2", "issue" : "7", "issued" : { "date-parts" : [ [ "2012" ] ] }, "page" : "606-625", "title" : "The portability of career-long work experience propensity to trust as a substitute for valuable work experience", "type" : "article-journal", "volume" : "17" }, "uris" : [ "http://www.mendeley.com/documents/?uuid=7147cb58-a95f-41c7-a9df-ed5125de898d" ] }, { "id" : "ITEM-3", "itemData" : { "DOI" : "10.1108/IJBM-01-2016-0005", "ISBN" : "0120160005", "author" : [ { "dropping-particle" : "", "family" : "Pousa", "given" : "Claudio", "non-dropping-particle" : "", "parse-names" : false, "suffix" : "" }, { "dropping-particle" : "", "family" : "Mathieu", "given" : "Anne", "non-dropping-particle" : "", "parse-names" : false, "suffix" : "" }, { "dropping-particle" : "", "family" : "Tr\u00e9panier", "given" : "Carole", "non-dropping-particle" : "", "parse-names" : false, "suffix" : "" } ], "container-title" : "International Journal of Bank Marketing", "id" : "ITEM-3", "issue" : "2", "issued" : { "date-parts" : [ [ "2017" ] ] }, "page" : "220-240", "title" : "Managing frontline employee performance through coaching : does selling experience matter ?", "type" : "article-journal", "volume" : "35" }, "uris" : [ "http://www.mendeley.com/documents/?uuid=7ab1c1c2-2138-4608-b179-a1f525f3363d" ] }, { "id" : "ITEM-4", "itemData" : { "DOI" : "10.1108/03074351211255146", "ISBN" : "0307435121", "author" : [ { "dropping-particle" : "", "family" : "Rong", "given" : "Shin", "non-dropping-particle" : "", "parse-names" : false, "suffix" : "" }, { "dropping-particle" : "", "family" : "Hou", "given" : "Shiah", "non-dropping-particle" : "", "parse-names" : false, "suffix" : "" }, { "dropping-particle" : "", "family" : "Cheng", "given" : "Chin Wei", "non-dropping-particle" : "", "parse-names" : false, "suffix" : "" } ], "container-title" : "Managerial Finance", "id" : "ITEM-4", "issue" : "10", "issued" : { "date-parts" : [ [ "2012" ] ] }, "page" : "914-936", "title" : "Outside director experience, compensation, and performance", "type" : "article-journal", "volume" : "38" }, "uris" : [ "http://www.mendeley.com/documents/?uuid=8d6cb277-5873-43ad-8a12-f163b8832481" ] } ], "mendeley" : { "formattedCitation" : "(Borgia et al., 2014; Mahony et al., 2012; Pousa et al., 2017; Rong et al., 2012)", "plainTextFormattedCitation" : "(Borgia et al., 2014; Mahony et al., 2012; Pousa et al., 2017; Rong et al., 2012)", "previouslyFormattedCitation" : "(Borgia et al., 2014; Mahony et al., 2012; Pousa et al., 2017; Rong et al., 2012)" }, "properties" : { "noteIndex" : 0 }, "schema" : "https://github.com/citation-style-language/schema/raw/master/csl-citation.json" }</w:instrText>
      </w:r>
      <w:r w:rsidRPr="002634A1">
        <w:fldChar w:fldCharType="separate"/>
      </w:r>
      <w:r w:rsidRPr="00F63683">
        <w:rPr>
          <w:noProof/>
        </w:rPr>
        <w:t>(Borgia et al., 2014; Mahony et al., 2012; Pousa et al., 2017; Rong et al., 2012)</w:t>
      </w:r>
      <w:r w:rsidRPr="002634A1">
        <w:fldChar w:fldCharType="end"/>
      </w:r>
      <w:r w:rsidRPr="00F63683">
        <w:t xml:space="preserve">. Previous work experience has a major </w:t>
      </w:r>
      <w:r w:rsidRPr="00656FA7">
        <w:t>factor in</w:t>
      </w:r>
      <w:r w:rsidRPr="00F63683">
        <w:t xml:space="preserve"> increasing employee performance </w:t>
      </w:r>
      <w:r w:rsidRPr="00656FA7">
        <w:rPr>
          <w:rStyle w:val="tlid-translation"/>
        </w:rPr>
        <w:fldChar w:fldCharType="begin" w:fldLock="1"/>
      </w:r>
      <w:r w:rsidRPr="00656FA7">
        <w:rPr>
          <w:rStyle w:val="tlid-translation"/>
        </w:rPr>
        <w:instrText>ADDIN CSL_CITATION { "citationItems" : [ { "id" : "ITEM-1", "itemData" : { "DOI" : "10.1108/13620431211283779", "ISBN" : "1362043121128", "author" : [ { "dropping-particle" : "", "family" : "Mahony", "given" : "Douglas M", "non-dropping-particle" : "", "parse-names" : false, "suffix" : "" }, { "dropping-particle" : "", "family" : "Klimchak", "given" : "Malayka", "non-dropping-particle" : "", "parse-names" : false, "suffix" : "" }, { "dropping-particle" : "", "family" : "Morrell", "given" : "Daniel L", "non-dropping-particle" : "", "parse-names" : false, "suffix" : "" }, { "dropping-particle" : "", "family" : "Hill", "given" : "Rock", "non-dropping-particle" : "", "parse-names" : false, "suffix" : "" }, { "dropping-particle" : "", "family" : "Carolina", "given" : "South", "non-dropping-particle" : "", "parse-names" : false, "suffix" : "" } ], "container-title" : "Career Development International", "id" : "ITEM-1", "issue" : "7", "issued" : { "date-parts" : [ [ "2012" ] ] }, "page" : "606-625", "title" : "The portability of career-long work experience propensity to trust as a substitute for valuable work experience", "type" : "article-journal", "volume" : "17" }, "uris" : [ "http://www.mendeley.com/documents/?uuid=7147cb58-a95f-41c7-a9df-ed5125de898d" ] } ], "mendeley" : { "formattedCitation" : "(Mahony et al., 2012)", "plainTextFormattedCitation" : "(Mahony et al., 2012)", "previouslyFormattedCitation" : "(Mahony et al., 2012)" }, "properties" : { "noteIndex" : 0 }, "schema" : "https://github.com/citation-style-language/schema/raw/master/csl-citation.json" }</w:instrText>
      </w:r>
      <w:r w:rsidRPr="00656FA7">
        <w:rPr>
          <w:rStyle w:val="tlid-translation"/>
        </w:rPr>
        <w:fldChar w:fldCharType="separate"/>
      </w:r>
      <w:r w:rsidRPr="00656FA7">
        <w:rPr>
          <w:rStyle w:val="tlid-translation"/>
          <w:noProof/>
        </w:rPr>
        <w:t>(Mahony et al., 2012)</w:t>
      </w:r>
      <w:r w:rsidRPr="00656FA7">
        <w:rPr>
          <w:rStyle w:val="tlid-translation"/>
        </w:rPr>
        <w:fldChar w:fldCharType="end"/>
      </w:r>
      <w:r w:rsidRPr="00F63683">
        <w:t>. However, how employees with vari</w:t>
      </w:r>
      <w:r w:rsidRPr="00656FA7">
        <w:t xml:space="preserve">ed prior work </w:t>
      </w:r>
      <w:r w:rsidRPr="00F63683">
        <w:t xml:space="preserve">experience will be able to improve employee performance </w:t>
      </w:r>
      <w:r w:rsidRPr="00656FA7">
        <w:t xml:space="preserve">requires further </w:t>
      </w:r>
      <w:r w:rsidRPr="00F63683">
        <w:t>investigat</w:t>
      </w:r>
      <w:r w:rsidRPr="00656FA7">
        <w:t>ion</w:t>
      </w:r>
      <w:r w:rsidRPr="00F63683">
        <w:t xml:space="preserve"> </w:t>
      </w:r>
      <w:r w:rsidRPr="00656FA7">
        <w:t xml:space="preserve">since </w:t>
      </w:r>
      <w:r w:rsidRPr="00F63683">
        <w:t xml:space="preserve">not all employees can </w:t>
      </w:r>
      <w:r w:rsidRPr="00656FA7">
        <w:t xml:space="preserve">draw </w:t>
      </w:r>
      <w:r w:rsidRPr="00F63683">
        <w:t xml:space="preserve">benefit from their </w:t>
      </w:r>
      <w:r w:rsidRPr="00656FA7">
        <w:t xml:space="preserve">past </w:t>
      </w:r>
      <w:r w:rsidRPr="00F63683">
        <w:t>work experience to improve performance.</w:t>
      </w:r>
    </w:p>
    <w:p w14:paraId="55B22E34" w14:textId="77777777" w:rsidR="00917F33" w:rsidRPr="00656FA7" w:rsidRDefault="00917F33" w:rsidP="00917F33">
      <w:pPr>
        <w:pStyle w:val="Paragraphbody"/>
      </w:pPr>
      <w:r w:rsidRPr="00FB078C">
        <w:rPr>
          <w:color w:val="FF0000"/>
        </w:rPr>
        <w:t xml:space="preserve">Various previous work experiences have an effect on the readiness of employees to </w:t>
      </w:r>
      <w:r w:rsidRPr="00FB078C">
        <w:rPr>
          <w:color w:val="FF0000"/>
          <w:lang w:val="en-GB"/>
        </w:rPr>
        <w:t>deal with</w:t>
      </w:r>
      <w:r w:rsidRPr="00FB078C">
        <w:rPr>
          <w:color w:val="FF0000"/>
        </w:rPr>
        <w:t xml:space="preserve"> organizational change. Employees with limited work experience tend to behave in a reactive manner and show emotion </w:t>
      </w:r>
      <w:r w:rsidRPr="00FB078C">
        <w:rPr>
          <w:color w:val="FF0000"/>
          <w:lang w:val="en-GB"/>
        </w:rPr>
        <w:t>when</w:t>
      </w:r>
      <w:r w:rsidRPr="00FB078C">
        <w:rPr>
          <w:color w:val="FF0000"/>
        </w:rPr>
        <w:t xml:space="preserve"> facing change</w:t>
      </w:r>
      <w:r w:rsidRPr="00FB078C">
        <w:rPr>
          <w:color w:val="FF0000"/>
          <w:lang w:val="en-GB"/>
        </w:rPr>
        <w:t xml:space="preserve">. </w:t>
      </w:r>
      <w:r w:rsidRPr="00FB078C">
        <w:rPr>
          <w:color w:val="FF0000"/>
        </w:rPr>
        <w:t xml:space="preserve">Reactive and emotional behavior is indicated by various behaviors that cause fatigue, frustration or stress </w:t>
      </w:r>
      <w:r w:rsidRPr="00FB078C">
        <w:rPr>
          <w:color w:val="FF0000"/>
          <w:lang w:val="en-GB"/>
        </w:rPr>
        <w:t>in</w:t>
      </w:r>
      <w:r w:rsidRPr="00FB078C">
        <w:rPr>
          <w:color w:val="FF0000"/>
        </w:rPr>
        <w:t xml:space="preserve"> fac</w:t>
      </w:r>
      <w:r w:rsidRPr="00FB078C">
        <w:rPr>
          <w:color w:val="FF0000"/>
          <w:lang w:val="en-GB"/>
        </w:rPr>
        <w:t>ing</w:t>
      </w:r>
      <w:r w:rsidRPr="00FB078C">
        <w:rPr>
          <w:color w:val="FF0000"/>
        </w:rPr>
        <w:t xml:space="preserve"> changes</w:t>
      </w:r>
      <w:r w:rsidRPr="00FB078C">
        <w:rPr>
          <w:color w:val="FF0000"/>
          <w:lang w:val="en-GB"/>
        </w:rPr>
        <w:t>,</w:t>
      </w:r>
      <w:r w:rsidRPr="00FB078C">
        <w:rPr>
          <w:color w:val="FF0000"/>
        </w:rPr>
        <w:t xml:space="preserve"> and </w:t>
      </w:r>
      <w:r w:rsidRPr="00FB078C">
        <w:rPr>
          <w:color w:val="FF0000"/>
          <w:lang w:val="en-GB"/>
        </w:rPr>
        <w:t xml:space="preserve">a </w:t>
      </w:r>
      <w:r w:rsidRPr="00FB078C">
        <w:rPr>
          <w:color w:val="FF0000"/>
        </w:rPr>
        <w:t>tend</w:t>
      </w:r>
      <w:r w:rsidRPr="00FB078C">
        <w:rPr>
          <w:color w:val="FF0000"/>
          <w:lang w:val="en-GB"/>
        </w:rPr>
        <w:t>ency</w:t>
      </w:r>
      <w:r w:rsidRPr="00FB078C">
        <w:rPr>
          <w:color w:val="FF0000"/>
        </w:rPr>
        <w:t xml:space="preserve"> to act negatively. In contrast, if employees have </w:t>
      </w:r>
      <w:r w:rsidRPr="00FB078C">
        <w:rPr>
          <w:color w:val="FF0000"/>
          <w:lang w:val="en-GB"/>
        </w:rPr>
        <w:t xml:space="preserve">had </w:t>
      </w:r>
      <w:r w:rsidRPr="00FB078C">
        <w:rPr>
          <w:color w:val="FF0000"/>
        </w:rPr>
        <w:t>a variety of work experiences and tend to regard change as part of a process which can provide an arena for learning, explor</w:t>
      </w:r>
      <w:r w:rsidRPr="00FB078C">
        <w:rPr>
          <w:color w:val="FF0000"/>
          <w:lang w:val="en-GB"/>
        </w:rPr>
        <w:t>ation of</w:t>
      </w:r>
      <w:r w:rsidRPr="00FB078C">
        <w:rPr>
          <w:color w:val="FF0000"/>
        </w:rPr>
        <w:t xml:space="preserve"> existing potential, </w:t>
      </w:r>
      <w:r w:rsidRPr="00FB078C">
        <w:rPr>
          <w:color w:val="FF0000"/>
          <w:lang w:val="en-GB"/>
        </w:rPr>
        <w:t xml:space="preserve">and </w:t>
      </w:r>
      <w:r w:rsidRPr="00FB078C">
        <w:rPr>
          <w:color w:val="FF0000"/>
        </w:rPr>
        <w:t>transference</w:t>
      </w:r>
      <w:r w:rsidRPr="00FB078C">
        <w:rPr>
          <w:color w:val="FF0000"/>
          <w:lang w:val="en-GB"/>
        </w:rPr>
        <w:t xml:space="preserve"> of</w:t>
      </w:r>
      <w:r w:rsidRPr="00FB078C">
        <w:rPr>
          <w:color w:val="FF0000"/>
        </w:rPr>
        <w:t xml:space="preserve"> experience</w:t>
      </w:r>
      <w:r w:rsidRPr="00FB078C">
        <w:rPr>
          <w:color w:val="FF0000"/>
          <w:lang w:val="en-GB"/>
        </w:rPr>
        <w:t>, they</w:t>
      </w:r>
      <w:r w:rsidRPr="00FB078C">
        <w:rPr>
          <w:color w:val="FF0000"/>
        </w:rPr>
        <w:t xml:space="preserve"> also </w:t>
      </w:r>
      <w:r w:rsidRPr="00FB078C">
        <w:rPr>
          <w:color w:val="FF0000"/>
          <w:lang w:val="en-GB"/>
        </w:rPr>
        <w:t xml:space="preserve">tend to be more </w:t>
      </w:r>
      <w:r w:rsidRPr="00FB078C">
        <w:rPr>
          <w:color w:val="FF0000"/>
        </w:rPr>
        <w:t xml:space="preserve">positive </w:t>
      </w:r>
      <w:r w:rsidRPr="00FB078C">
        <w:rPr>
          <w:color w:val="FF0000"/>
          <w:lang w:val="en-GB"/>
        </w:rPr>
        <w:t xml:space="preserve">in their </w:t>
      </w:r>
      <w:r w:rsidRPr="00FB078C">
        <w:rPr>
          <w:color w:val="FF0000"/>
        </w:rPr>
        <w:t xml:space="preserve">thinking toward the changes </w:t>
      </w:r>
      <w:r w:rsidRPr="00FB078C">
        <w:rPr>
          <w:color w:val="FF0000"/>
          <w:lang w:val="en-GB"/>
        </w:rPr>
        <w:t xml:space="preserve">which </w:t>
      </w:r>
      <w:r w:rsidRPr="00FB078C">
        <w:rPr>
          <w:color w:val="FF0000"/>
        </w:rPr>
        <w:t xml:space="preserve">provides new energy for improvement </w:t>
      </w:r>
      <w:r w:rsidRPr="00FB078C">
        <w:rPr>
          <w:color w:val="FF0000"/>
        </w:rPr>
        <w:fldChar w:fldCharType="begin" w:fldLock="1"/>
      </w:r>
      <w:r w:rsidRPr="00FB078C">
        <w:rPr>
          <w:color w:val="FF0000"/>
        </w:rPr>
        <w:instrText>ADDIN CSL_CITATION { "citationItems" : [ { "id" : "ITEM-1", "itemData" : { "DOI" : "10.1108/00483481211189974", "author" : [ { "dropping-particle" : "", "family" : "Stensaker", "given" : "Inger G", "non-dropping-particle" : "", "parse-names" : false, "suffix" : "" }, { "dropping-particle" : "", "family" : "Meyer", "given" : "Christine B", "non-dropping-particle" : "", "parse-names" : false, "suffix" : "" } ], "container-title" : "Personnel Review", "id" : "ITEM-1", "issue" : "1", "issued" : { "date-parts" : [ [ "2012" ] ] }, "page" : "106-124", "title" : "Change experience and employee reactions: Developing capabilities for change", "type" : "article-journal", "volume" : "41" }, "uris" : [ "http://www.mendeley.com/documents/?uuid=ab3be33d-db57-4413-8feb-83973b8c3d58" ] } ], "mendeley" : { "formattedCitation" : "(Stensaker &amp; Meyer, 2012)", "plainTextFormattedCitation" : "(Stensaker &amp; Meyer, 2012)", "previouslyFormattedCitation" : "(Stensaker &amp; Meyer, 2012)" }, "properties" : { "noteIndex" : 0 }, "schema" : "https://github.com/citation-style-language/schema/raw/master/csl-citation.json" }</w:instrText>
      </w:r>
      <w:r w:rsidRPr="00FB078C">
        <w:rPr>
          <w:color w:val="FF0000"/>
        </w:rPr>
        <w:fldChar w:fldCharType="separate"/>
      </w:r>
      <w:r w:rsidRPr="00FB078C">
        <w:rPr>
          <w:noProof/>
          <w:color w:val="FF0000"/>
        </w:rPr>
        <w:t>(Stensaker &amp; Meyer, 2012)</w:t>
      </w:r>
      <w:r w:rsidRPr="00FB078C">
        <w:rPr>
          <w:color w:val="FF0000"/>
        </w:rPr>
        <w:fldChar w:fldCharType="end"/>
      </w:r>
      <w:r w:rsidRPr="00FB078C">
        <w:rPr>
          <w:color w:val="FF0000"/>
        </w:rPr>
        <w:t>. To improve employee performance, pro-commitment to learning is needed, in addition to adaptability to technolog</w:t>
      </w:r>
      <w:r w:rsidRPr="00FB078C">
        <w:rPr>
          <w:color w:val="FF0000"/>
          <w:lang w:val="en-GB"/>
        </w:rPr>
        <w:t>ical</w:t>
      </w:r>
      <w:r w:rsidRPr="00FB078C">
        <w:rPr>
          <w:color w:val="FF0000"/>
        </w:rPr>
        <w:t xml:space="preserve"> changes. This is in accordance with </w:t>
      </w:r>
      <w:r w:rsidRPr="00FB078C">
        <w:rPr>
          <w:color w:val="FF0000"/>
        </w:rPr>
        <w:fldChar w:fldCharType="begin" w:fldLock="1"/>
      </w:r>
      <w:r w:rsidRPr="00FB078C">
        <w:rPr>
          <w:color w:val="FF0000"/>
        </w:rPr>
        <w:instrText>ADDIN CSL_CITATION { "citationItems" : [ { "id" : "ITEM-1", "itemData" : { "DOI" : "10.1007/s10869-009-9126-0", "ISSN" : "08893268", "PMID" : "1536981", "abstract" : "Flying-type sliders with the integration of optical components were developed for Near-Field Recording (NFR) and Far-Field Recording (FFR) technologies. The key design issue was the integration of the optical components with the slider. Due to the size of the lenses mounted on it, the slider had to be relatively large, corresponding to the size of a micro-slider. Also, the non-uniform distribution of the slider body density was incorporated in the design. As for the optical disk substrate, a plastic material such as polycarbonate was investigated because of its manufacturing convenience and cost effectiveness. The flying and tribological performance of the prototype optical sliders on various media were assessed. The results showed that the tribological characteristics of the slider/disk interface were sensitive to several factors including the properties of the disk. Adequate flying characteristics of the optical sliders on glass (NFR) and plastic (FFR) disks could be attained by optimizing these parameters. \u00a9 2005 Elsevier Ltd. All rights reserved.", "author" : [ { "dropping-particle" : "", "family" : "Maurer", "given" : "Todd J.", "non-dropping-particle" : "", "parse-names" : false, "suffix" : "" }, { "dropping-particle" : "", "family" : "Weiss", "given" : "Elizabeth M.", "non-dropping-particle" : "", "parse-names" : false, "suffix" : "" } ], "container-title" : "J Bus Psychol", "id" : "ITEM-1", "issued" : { "date-parts" : [ [ "2010" ] ] }, "page" : "1-13", "title" : "Continuous learning skill demands: Associations with managerial job content, age, and experience", "type" : "article-journal", "volume" : "25" }, "uris" : [ "http://www.mendeley.com/documents/?uuid=d83ea5cd-1f93-43d0-961a-640428bf7bdb" ] } ], "mendeley" : { "formattedCitation" : "(Maurer &amp; Weiss, 2010)", "manualFormatting" : "Maurer and Weiss (2010)", "plainTextFormattedCitation" : "(Maurer &amp; Weiss, 2010)", "previouslyFormattedCitation" : "(Maurer &amp; Weiss, 2010)" }, "properties" : { "noteIndex" : 0 }, "schema" : "https://github.com/citation-style-language/schema/raw/master/csl-citation.json" }</w:instrText>
      </w:r>
      <w:r w:rsidRPr="00FB078C">
        <w:rPr>
          <w:color w:val="FF0000"/>
        </w:rPr>
        <w:fldChar w:fldCharType="separate"/>
      </w:r>
      <w:r w:rsidRPr="00FB078C">
        <w:rPr>
          <w:noProof/>
          <w:color w:val="FF0000"/>
        </w:rPr>
        <w:t>Maurer and Weiss (2010)</w:t>
      </w:r>
      <w:r w:rsidRPr="00FB078C">
        <w:rPr>
          <w:color w:val="FF0000"/>
        </w:rPr>
        <w:fldChar w:fldCharType="end"/>
      </w:r>
      <w:r w:rsidRPr="00FB078C">
        <w:rPr>
          <w:color w:val="FF0000"/>
        </w:rPr>
        <w:t xml:space="preserve"> view that continuous learning is an important part of successful work. </w:t>
      </w:r>
      <w:r w:rsidRPr="00FB078C">
        <w:rPr>
          <w:rFonts w:asciiTheme="majorBidi" w:hAnsiTheme="majorBidi" w:cstheme="majorBidi"/>
          <w:color w:val="FF0000"/>
        </w:rPr>
        <w:t>The purpose of this study are threefold. Firstly, to examine the role of the quality of professional experience on employee performance at the individual level. Secondly, to examine the role of pro-commitment to learning mediation and adaptation to technological change in improving employee performance. Thirdly, to examine in more depth the role of organizational learning theory and human capital theory to support novelty research</w:t>
      </w:r>
      <w:r w:rsidRPr="00656FA7">
        <w:rPr>
          <w:rFonts w:asciiTheme="majorBidi" w:hAnsiTheme="majorBidi" w:cstheme="majorBidi"/>
        </w:rPr>
        <w:t>.</w:t>
      </w:r>
    </w:p>
    <w:p w14:paraId="2FA35B11" w14:textId="77777777" w:rsidR="00917F33" w:rsidRPr="00EA78F3" w:rsidRDefault="00917F33" w:rsidP="00917F33">
      <w:pPr>
        <w:pStyle w:val="Heading1"/>
      </w:pPr>
      <w:r>
        <w:rPr>
          <w:rStyle w:val="tlid-translation"/>
        </w:rPr>
        <w:t>1</w:t>
      </w:r>
      <w:r w:rsidRPr="00656FA7">
        <w:t xml:space="preserve">. Theoretical </w:t>
      </w:r>
      <w:r>
        <w:t>review and hypothesi</w:t>
      </w:r>
      <w:r w:rsidRPr="00656FA7">
        <w:t xml:space="preserve">s </w:t>
      </w:r>
      <w:r>
        <w:t>d</w:t>
      </w:r>
      <w:r w:rsidRPr="00656FA7">
        <w:t>evelopment</w:t>
      </w:r>
    </w:p>
    <w:p w14:paraId="28E978FD" w14:textId="77777777" w:rsidR="00917F33" w:rsidRPr="00B24A15" w:rsidRDefault="00917F33" w:rsidP="00917F33">
      <w:pPr>
        <w:pStyle w:val="Heading2"/>
        <w:rPr>
          <w:lang w:val="en-US"/>
        </w:rPr>
      </w:pPr>
      <w:r>
        <w:rPr>
          <w:lang w:val="en-US"/>
        </w:rPr>
        <w:t xml:space="preserve"> 1.1. </w:t>
      </w:r>
      <w:r w:rsidRPr="00B24A15">
        <w:rPr>
          <w:lang w:val="en-US"/>
        </w:rPr>
        <w:t>The effect of adaptability to technological change on employee performance</w:t>
      </w:r>
    </w:p>
    <w:p w14:paraId="1FD34546" w14:textId="77777777" w:rsidR="00917F33" w:rsidRPr="00430938" w:rsidRDefault="00917F33" w:rsidP="00917F33">
      <w:pPr>
        <w:pStyle w:val="Paragraphbody"/>
      </w:pPr>
      <w:r w:rsidRPr="00430938">
        <w:t xml:space="preserve">The concept of adaptability is derived from the theory of human capital. Human capital is related to the abilities, knowledge, skills, and qualifications possessed by individuals </w:t>
      </w:r>
      <w:r w:rsidRPr="002634A1">
        <w:fldChar w:fldCharType="begin" w:fldLock="1"/>
      </w:r>
      <w:r w:rsidRPr="00430938">
        <w:instrText>ADDIN CSL_CITATION { "citationItems" : [ { "id" : "ITEM-1", "itemData" : { "DOI" : "10.1016/j.jbusres.2018.05.025", "ISSN" : "01482963", "abstract" : "The knowledge-based view of the firm points knowledge as the main resource able of generating competitive advantage for organization. This competitive advantage is the result of the innovative process, which requires knowledge exploration and exploitation. Several studies have aimed to analyze factors that support the knowledge management (KM) process and generate taxonomies related to the practice of KM. However, there is a gap in the literature on organizational knowledge regarding the relationship of contextual factors with the knowledge exploration and exploitation process as well as with the generating of a typology that considers these two processes. To achieve this goal, this study uses a quantitative approach, based on a survey with 234 companies in the automotive industry. Our results show that the knowledge exploration and exploitation process are differently impacted by five contextual factors considered in this research - human resources management, supportive leadership, learning culture, autonomy and systems of information technology (IT). While exploration is more impacted by learning culture, autonomy and IT systems, exploitation is more associated with supportive leadership and learning culture. Considering innovation for knowledge exploration and exploitation and contextual factors, this research also identifies three clusters in the automotive industry, named innovative companies, exploitative companies and passive companies.", "author" : [ { "dropping-particle" : "", "family" : "Gonzalez", "given" : "Rodrigo Valio Dominguez", "non-dropping-particle" : "", "parse-names" : false, "suffix" : "" }, { "dropping-particle" : "", "family" : "Melo", "given" : "Tatiana Massaroli", "non-dropping-particle" : "de", "parse-names" : false, "suffix" : "" } ], "container-title" : "Journal of Business Research", "id" : "ITEM-1", "issue" : "October 2017", "issued" : { "date-parts" : [ [ "2018" ] ] }, "page" : "215-225", "publisher" : "Elsevier", "title" : "The effects of organization context on knowledge exploration and exploitation", "type" : "article-journal", "volume" : "90" }, "uris" : [ "http://www.mendeley.com/documents/?uuid=92bbeeff-31a4-4f7e-83aa-92409dabdbf8" ] }, { "id" : "ITEM-2", "itemData" : { "ISBN" : "09585192", "ISSN" : "0958-5192", "PMID" : "59530562", "abstract" : "Es un buen art\u00edculo. Un black box pero sin llegar al rendimiento organizativo, pues se queda en el rendimiento a nivel individual. Se trata por tanto de un black box que cumple con todos los requisitos pero el rendimiento est\u00e1 al nivel individual. Mide el sistema y el rendimiento a trav\u00e9s de responsable de las peluquer\u00edas. Midel el compromiso a trav\u00e9s de los trabajadores y relaciona todo con una muestra interesante: 97 tiendas y 300 trabajadores. Buena investigaci\u00f3n. Metodol\u00f3gicamente hablando utiilizal el HLM. Contrasta si el capital humano y/o el compromiso median en la relaci\u00f3n entre sistema y rendimiento. Ambos le salen positivos, por lo que concluye que se trata de una cuesti\u00f3n de equifinalidad (el HPWS influye en el rendimiento a trav\u00e9s de varias variables black box).", "author" : [ { "dropping-particle" : "", "family" : "Chang", "given" : "Po-Chien", "non-dropping-particle" : "", "parse-names" : false, "suffix" : "" }, { "dropping-particle" : "", "family" : "Chen", "given" : "Shyh-Jer", "non-dropping-particle" : "", "parse-names" : false, "suffix" : "" } ], "container-title" : "The International Journal of Human Resource Management", "id" : "ITEM-2", "issue" : "4", "issued" : { "date-parts" : [ [ "2011" ] ] }, "page" : "883-901", "title" : "Crossing the level of employee's performance: HPWS, affective commitment, human capital, and employee job performance in professional service organizations", "type" : "article-journal", "volume" : "22" }, "uris" : [ "http://www.mendeley.com/documents/?uuid=1af7421d-46d9-4a20-b864-9db3933e55bb" ] } ], "mendeley" : { "formattedCitation" : "(Chang &amp; Chen, 2011; Gonzalez &amp; de Melo, 2018)", "plainTextFormattedCitation" : "(Chang &amp; Chen, 2011; Gonzalez &amp; de Melo, 2018)", "previouslyFormattedCitation" : "(Chang &amp; Chen, 2011; Gonzalez &amp; de Melo, 2018)" }, "properties" : { "noteIndex" : 0 }, "schema" : "https://github.com/citation-style-language/schema/raw/master/csl-citation.json" }</w:instrText>
      </w:r>
      <w:r w:rsidRPr="002634A1">
        <w:fldChar w:fldCharType="separate"/>
      </w:r>
      <w:r w:rsidRPr="00430938">
        <w:rPr>
          <w:noProof/>
        </w:rPr>
        <w:t>(Chang &amp; Chen, 2011; Gonzalez &amp; de Melo, 2018)</w:t>
      </w:r>
      <w:r w:rsidRPr="002634A1">
        <w:fldChar w:fldCharType="end"/>
      </w:r>
      <w:r w:rsidRPr="00430938">
        <w:t xml:space="preserve">. Whereas </w:t>
      </w:r>
      <w:r w:rsidRPr="002634A1">
        <w:fldChar w:fldCharType="begin"/>
      </w:r>
      <w:r w:rsidRPr="00430938">
        <w:instrText xml:space="preserve"> ADDIN EN.CITE &lt;EndNote&gt;&lt;Cite&gt;&lt;Author&gt;Ruíz&lt;/Author&gt;&lt;Year&gt;2016&lt;/Year&gt;&lt;RecNum&gt;20&lt;/RecNum&gt;&lt;record&gt;&lt;rec-number&gt;20&lt;/rec-number&gt;&lt;foreign-keys&gt;&lt;key app="EN" db-id="zww2s9028wfva7eswtrvxwsmwvpxe5drr9fw"&gt;20&lt;/key&gt;&lt;/foreign-keys&gt;&lt;ref-type name="Journal Article"&gt;17&lt;/ref-type&gt;&lt;contributors&gt;&lt;authors&gt;&lt;author&gt;Ruíz, María Dolores Aledo&lt;/author&gt;&lt;author&gt;Gutiérrez, Jaime Ortega&lt;/author&gt;&lt;author&gt;Martínez-Caro, Eva&lt;/author&gt;&lt;author&gt;Cegarra-Navarro, Juan Gabriel&lt;/author&gt;&lt;/authors&gt;&lt;/contributors&gt;&lt;titles&gt;&lt;title&gt;Linking an unlearning context with firm performance through human capital&lt;/title&gt;&lt;secondary-title&gt;European Research on Management and Business Economics&lt;/secondary-title&gt;&lt;/titles&gt;&lt;periodical&gt;&lt;full-title&gt;European Research on Management and Business Economics&lt;/full-title&gt;&lt;/periodical&gt;&lt;dates&gt;&lt;year&gt;2016&lt;/year&gt;&lt;/dates&gt;&lt;publisher&gt;Elsevier&lt;/publisher&gt;&lt;isbn&gt;2444-8834&lt;/isbn&gt;&lt;urls&gt;&lt;/urls&gt;&lt;/record&gt;&lt;/Cite&gt;&lt;/EndNote&gt;</w:instrText>
      </w:r>
      <w:r w:rsidRPr="002634A1">
        <w:fldChar w:fldCharType="separate"/>
      </w:r>
      <w:r w:rsidRPr="00656FA7">
        <w:t>Ruíz et al., (2016)</w:t>
      </w:r>
      <w:r w:rsidRPr="002634A1">
        <w:fldChar w:fldCharType="end"/>
      </w:r>
      <w:r w:rsidRPr="00430938">
        <w:t xml:space="preserve"> explain that human capital is competence, knowledge, social attributes and personality, including creativity, manifested in the ability to do work. Employee competence is a significant challenge to consider in individual competence and as part of the organization's core capability </w:t>
      </w:r>
      <w:r w:rsidRPr="002634A1">
        <w:fldChar w:fldCharType="begin" w:fldLock="1"/>
      </w:r>
      <w:r w:rsidRPr="00430938">
        <w:instrText>ADDIN CSL_CITATION { "citationItems" : [ { "id" : "ITEM-1", "itemData" : { "author" : [ { "dropping-particle" : "", "family" : "Santanu Mandal", "given" : "", "non-dropping-particle" : "", "parse-names" : false, "suffix" : "" } ], "container-title" : "International Journal of Disaster Resilience in the Built Environment,", "id" : "ITEM-1", "issue" : "2", "issued" : { "date-parts" : [ [ "2017" ] ] }, "page" : "190-208", "title" : "An empirical competence-capability model of supply chain resilience", "type" : "article-journal", "volume" : "8" }, "uris" : [ "http://www.mendeley.com/documents/?uuid=c9243509-6e50-4cf7-8b3f-3fcc472daf77" ] } ], "mendeley" : { "formattedCitation" : "(Santanu Mandal, 2017)", "plainTextFormattedCitation" : "(Santanu Mandal, 2017)", "previouslyFormattedCitation" : "(Santanu Mandal, 2017)" }, "properties" : { "noteIndex" : 0 }, "schema" : "https://github.com/citation-style-language/schema/raw/master/csl-citation.json" }</w:instrText>
      </w:r>
      <w:r w:rsidRPr="002634A1">
        <w:fldChar w:fldCharType="separate"/>
      </w:r>
      <w:r w:rsidRPr="00430938">
        <w:rPr>
          <w:noProof/>
        </w:rPr>
        <w:t>(Santanu Mandal, 2017)</w:t>
      </w:r>
      <w:r w:rsidRPr="002634A1">
        <w:fldChar w:fldCharType="end"/>
      </w:r>
      <w:r w:rsidRPr="00430938">
        <w:t xml:space="preserve">. Knowing the manager’s skills and competencies means knowing the ways an organization strives to achieve its goals </w:t>
      </w:r>
      <w:r w:rsidRPr="002634A1">
        <w:fldChar w:fldCharType="begin" w:fldLock="1"/>
      </w:r>
      <w:r w:rsidRPr="00430938">
        <w:instrText>ADDIN CSL_CITATION { "citationItems" : [ { "id" : "ITEM-1", "itemData" : { "DOI" : "10.18421/IJQR11.04-08", "ISSN" : "18007473", "author" : [ { "dropping-particle" : "", "family" : "Muafi", "given" : "", "non-dropping-particle" : "", "parse-names" : false, "suffix" : "" }, { "dropping-particle" : "", "family" : "Suwitho", "given" : "", "non-dropping-particle" : "", "parse-names" : false, "suffix" : "" }, { "dropping-particle" : "", "family" : "Purwohandoko", "given" : "", "non-dropping-particle" : "", "parse-names" : false, "suffix" : "" }, { "dropping-particle" : "", "family" : "Salsabil", "given" : "Imanirrahma", "non-dropping-particle" : "", "parse-names" : false, "suffix" : "" } ], "container-title" : "International Journal for Quality Research", "id" : "ITEM-1", "issue" : "4", "issued" : { "date-parts" : [ [ "2018" ] ] }, "page" : "849-868", "title" : "Human capital in Islamic Bank and its effect on the improvement of healthy organization and employee performance", "type" : "article-journal", "volume" : "11" }, "uris" : [ "http://www.mendeley.com/documents/?uuid=bea38c62-0a45-4a1e-98fc-3b15ace88bf7" ] } ], "mendeley" : { "formattedCitation" : "(Muafi et al., 2018)", "manualFormatting" : "(Muafi, Suwitho, Purwohandoko and Salsabil, 2018)", "plainTextFormattedCitation" : "(Muafi et al., 2018)", "previouslyFormattedCitation" : "(Muafi et al., 2018)" }, "properties" : { "noteIndex" : 0 }, "schema" : "https://github.com/citation-style-language/schema/raw/master/csl-citation.json" }</w:instrText>
      </w:r>
      <w:r w:rsidRPr="002634A1">
        <w:fldChar w:fldCharType="separate"/>
      </w:r>
      <w:r w:rsidRPr="00430938">
        <w:rPr>
          <w:noProof/>
        </w:rPr>
        <w:t>(Muafi, Suwitho, Purwohandoko and Salsabil, 2018)</w:t>
      </w:r>
      <w:r w:rsidRPr="002634A1">
        <w:fldChar w:fldCharType="end"/>
      </w:r>
      <w:r w:rsidRPr="00430938">
        <w:t>. Employee competence is measured based on an increase in the skills to understand, communicate with, motivate and support other employees, individually or in a team. Adaptability is part of an individual’s competency in processing and adjusting him/herself to any changes.</w:t>
      </w:r>
    </w:p>
    <w:p w14:paraId="07154D39" w14:textId="77777777" w:rsidR="00917F33" w:rsidRPr="00342565" w:rsidRDefault="00917F33" w:rsidP="00917F33">
      <w:pPr>
        <w:pStyle w:val="Paragraphbody"/>
        <w:rPr>
          <w:color w:val="FF0000"/>
        </w:rPr>
      </w:pPr>
      <w:r w:rsidRPr="00342565">
        <w:rPr>
          <w:color w:val="FF0000"/>
        </w:rPr>
        <w:t xml:space="preserve">In service companies, competitiveness strengths are very dependent on the technology that the company uses in providing fast and safe services. However, what is more important is the capability of human resources in adapting to and performing well amidst technological changes. This is in line with research conducted by </w:t>
      </w:r>
      <w:r w:rsidRPr="00342565">
        <w:rPr>
          <w:color w:val="FF0000"/>
        </w:rPr>
        <w:fldChar w:fldCharType="begin" w:fldLock="1"/>
      </w:r>
      <w:r w:rsidRPr="00342565">
        <w:rPr>
          <w:color w:val="FF0000"/>
        </w:rPr>
        <w:instrText>ADDIN CSL_CITATION { "citationItems" : [ { "id" : "ITEM-1", "itemData" : { "author" : [ { "dropping-particle" : "", "family" : "Jabbouri", "given" : "Nada Ismaeel", "non-dropping-particle" : "", "parse-names" : false, "suffix" : "" }, { "dropping-particle" : "", "family" : "Sirona", "given" : "Rusinah", "non-dropping-particle" : "", "parse-names" : false, "suffix" : "" }, { "dropping-particle" : "", "family" : "Zahari", "given" : "Ibrahim", "non-dropping-particle" : "", "parse-names" : false, "suffix" : "" }, { "dropping-particle" : "", "family" : "Khalida", "given" : "Mahmoud", "non-dropping-particle" : "", "parse-names" : false, "suffix" : "" } ], "container-title" : "Procedia Economics and Finance", "id" : "ITEM-1", "issue" : "861-869", "issued" : { "date-parts" : [ [ "2016" ] ] }, "title" : "Impact of information technology infrastructure on innovation performance: An empirical study on private Universities in Iraq", "type" : "article-journal", "volume" : "39" }, "uris" : [ "http://www.mendeley.com/documents/?uuid=7ca214f5-87c2-4d25-8893-c37620918b04" ] }, { "id" : "ITEM-2", "itemData" : { "author" : [ { "dropping-particle" : "", "family" : "Park", "given" : "Kyungja", "non-dropping-particle" : "", "parse-names" : false, "suffix" : "" }, { "dropping-particle" : "", "family" : "Koh", "given" : "Joon", "non-dropping-particle" : "", "parse-names" : false, "suffix" : "" } ], "container-title" : "Computers in Human Behavior", "id" : "ITEM-2", "issued" : { "date-parts" : [ [ "2017" ] ] }, "page" : "142-150", "title" : "Exploring the relationship between perceived pace of technology change and adoption resistance to convergence products", "type" : "article-journal", "volume" : "69" }, "uris" : [ "http://www.mendeley.com/documents/?uuid=f3c268ab-0ccb-4fb1-ad8b-7e74c585c7c8" ] } ], "mendeley" : { "formattedCitation" : "(Jabbouri et al., 2016; Park &amp; Koh, 2017)", "plainTextFormattedCitation" : "(Jabbouri et al., 2016; Park &amp; Koh, 2017)", "previouslyFormattedCitation" : "(Jabbouri et al., 2016; Park &amp; Koh, 2017)" }, "properties" : { "noteIndex" : 0 }, "schema" : "https://github.com/citation-style-language/schema/raw/master/csl-citation.json" }</w:instrText>
      </w:r>
      <w:r w:rsidRPr="00342565">
        <w:rPr>
          <w:color w:val="FF0000"/>
        </w:rPr>
        <w:fldChar w:fldCharType="separate"/>
      </w:r>
      <w:r w:rsidRPr="00342565">
        <w:rPr>
          <w:noProof/>
          <w:color w:val="FF0000"/>
        </w:rPr>
        <w:t>(Jabbouri et al., 2016; Park &amp; Koh, 2017)</w:t>
      </w:r>
      <w:r w:rsidRPr="00342565">
        <w:rPr>
          <w:color w:val="FF0000"/>
        </w:rPr>
        <w:fldChar w:fldCharType="end"/>
      </w:r>
      <w:r w:rsidRPr="00342565">
        <w:rPr>
          <w:color w:val="FF0000"/>
        </w:rPr>
        <w:t xml:space="preserve"> which state that the ability of employees to meet the demands of change will increase employee performance. The research by </w:t>
      </w:r>
      <w:r w:rsidRPr="00342565">
        <w:rPr>
          <w:color w:val="FF0000"/>
        </w:rPr>
        <w:fldChar w:fldCharType="begin" w:fldLock="1"/>
      </w:r>
      <w:r w:rsidRPr="00342565">
        <w:rPr>
          <w:color w:val="FF0000"/>
        </w:rPr>
        <w:instrText>ADDIN CSL_CITATION { "citationItems" : [ { "id" : "ITEM-1", "itemData" : { "author" : [ { "dropping-particle" : "", "family" : "Park", "given" : "Kyungja", "non-dropping-particle" : "", "parse-names" : false, "suffix" : "" }, { "dropping-particle" : "", "family" : "Koh", "given" : "Joon", "non-dropping-particle" : "", "parse-names" : false, "suffix" : "" } ], "container-title" : "Computers in Human Behavior", "id" : "ITEM-1", "issued" : { "date-parts" : [ [ "2017" ] ] }, "page" : "142-150", "title" : "Exploring the relationship between perceived pace of technology change and adoption resistance to convergence products", "type" : "article-journal", "volume" : "69" }, "uris" : [ "http://www.mendeley.com/documents/?uuid=f3c268ab-0ccb-4fb1-ad8b-7e74c585c7c8" ] } ], "mendeley" : { "formattedCitation" : "(Park &amp; Koh, 2017)", "manualFormatting" : "Park and Koh (2017)", "plainTextFormattedCitation" : "(Park &amp; Koh, 2017)", "previouslyFormattedCitation" : "(Park &amp; Koh, 2017)" }, "properties" : { "noteIndex" : 0 }, "schema" : "https://github.com/citation-style-language/schema/raw/master/csl-citation.json" }</w:instrText>
      </w:r>
      <w:r w:rsidRPr="00342565">
        <w:rPr>
          <w:color w:val="FF0000"/>
        </w:rPr>
        <w:fldChar w:fldCharType="separate"/>
      </w:r>
      <w:r w:rsidRPr="00342565">
        <w:rPr>
          <w:noProof/>
          <w:color w:val="FF0000"/>
        </w:rPr>
        <w:t>Park and Koh (2017)</w:t>
      </w:r>
      <w:r w:rsidRPr="00342565">
        <w:rPr>
          <w:color w:val="FF0000"/>
        </w:rPr>
        <w:fldChar w:fldCharType="end"/>
      </w:r>
      <w:r w:rsidRPr="00342565">
        <w:rPr>
          <w:color w:val="FF0000"/>
        </w:rPr>
        <w:t xml:space="preserve"> concluded that rapid technological change is a key element in persuading customers to buy a particular product because technology produces better and cheaper products. As </w:t>
      </w:r>
      <w:r w:rsidRPr="00342565">
        <w:rPr>
          <w:color w:val="FF0000"/>
        </w:rPr>
        <w:fldChar w:fldCharType="begin" w:fldLock="1"/>
      </w:r>
      <w:r w:rsidRPr="00342565">
        <w:rPr>
          <w:color w:val="FF0000"/>
        </w:rPr>
        <w:instrText>ADDIN CSL_CITATION { "citationItems" : [ { "id" : "ITEM-1", "itemData" : { "author" : [ { "dropping-particle" : "", "family" : "Lee", "given" : "Haewon", "non-dropping-particle" : "", "parse-names" : false, "suffix" : "" }, { "dropping-particle" : "", "family" : "Choi", "given" : "Hanbyeol", "non-dropping-particle" : "", "parse-names" : false, "suffix" : "" }, { "dropping-particle" : "", "family" : "Lee", "given" : "Junyeong", "non-dropping-particle" : "", "parse-names" : false, "suffix" : "" }, { "dropping-particle" : "", "family" : "Min", "given" : "Jinyoung", "non-dropping-particle" : "", "parse-names" : false, "suffix" : "" }, { "dropping-particle" : "", "family" : "Lee", "given" : "Heeseok", "non-dropping-particle" : "", "parse-names" : false, "suffix" : "" } ], "container-title" : "Procedia Computer Science", "id" : "ITEM-1", "issued" : { "date-parts" : [ [ "2016" ] ] }, "page" : "652-661", "title" : "Impact of IT investment on firm performance based on Technology IT Architecture", "type" : "paper-conference", "volume" : "91" }, "uris" : [ "http://www.mendeley.com/documents/?uuid=5b8e0548-4fce-4c4f-bfcc-3ddbce8e670f" ] } ], "mendeley" : { "formattedCitation" : "(Lee et al., 2016)", "manualFormatting" : "H. Lee et al., (2016)", "plainTextFormattedCitation" : "(Lee et al., 2016)", "previouslyFormattedCitation" : "(Lee et al., 2016)" }, "properties" : { "noteIndex" : 0 }, "schema" : "https://github.com/citation-style-language/schema/raw/master/csl-citation.json" }</w:instrText>
      </w:r>
      <w:r w:rsidRPr="00342565">
        <w:rPr>
          <w:color w:val="FF0000"/>
        </w:rPr>
        <w:fldChar w:fldCharType="separate"/>
      </w:r>
      <w:r w:rsidRPr="00342565">
        <w:rPr>
          <w:noProof/>
          <w:color w:val="FF0000"/>
        </w:rPr>
        <w:t>H. Lee et al., (2016)</w:t>
      </w:r>
      <w:r w:rsidRPr="00342565">
        <w:rPr>
          <w:color w:val="FF0000"/>
        </w:rPr>
        <w:fldChar w:fldCharType="end"/>
      </w:r>
      <w:r w:rsidRPr="00342565">
        <w:rPr>
          <w:color w:val="FF0000"/>
        </w:rPr>
        <w:t xml:space="preserve"> found, wireless technology is most significant in stimulating business profit. According to research conducted by </w:t>
      </w:r>
      <w:r w:rsidRPr="00342565">
        <w:rPr>
          <w:color w:val="FF0000"/>
        </w:rPr>
        <w:fldChar w:fldCharType="begin" w:fldLock="1"/>
      </w:r>
      <w:r w:rsidRPr="00342565">
        <w:rPr>
          <w:color w:val="FF0000"/>
        </w:rPr>
        <w:instrText>ADDIN CSL_CITATION { "citationItems" : [ { "id" : "ITEM-1", "itemData" : { "author" : [ { "dropping-particle" : "", "family" : "Jabbouri", "given" : "Nada Ismaeel", "non-dropping-particle" : "", "parse-names" : false, "suffix" : "" }, { "dropping-particle" : "", "family" : "Sirona", "given" : "Rusinah", "non-dropping-particle" : "", "parse-names" : false, "suffix" : "" }, { "dropping-particle" : "", "family" : "Zahari", "given" : "Ibrahim", "non-dropping-particle" : "", "parse-names" : false, "suffix" : "" }, { "dropping-particle" : "", "family" : "Khalida", "given" : "Mahmoud", "non-dropping-particle" : "", "parse-names" : false, "suffix" : "" } ], "container-title" : "Procedia Economics and Finance", "id" : "ITEM-1", "issue" : "861-869", "issued" : { "date-parts" : [ [ "2016" ] ] }, "title" : "Impact of information technology infrastructure on innovation performance: An empirical study on private Universities in Iraq", "type" : "article-journal", "volume" : "39" }, "uris" : [ "http://www.mendeley.com/documents/?uuid=7ca214f5-87c2-4d25-8893-c37620918b04" ] } ], "mendeley" : { "formattedCitation" : "(Jabbouri et al., 2016)", "manualFormatting" : "Jabbouri et al., (2016)", "plainTextFormattedCitation" : "(Jabbouri et al., 2016)", "previouslyFormattedCitation" : "(Jabbouri et al., 2016)" }, "properties" : { "noteIndex" : 0 }, "schema" : "https://github.com/citation-style-language/schema/raw/master/csl-citation.json" }</w:instrText>
      </w:r>
      <w:r w:rsidRPr="00342565">
        <w:rPr>
          <w:color w:val="FF0000"/>
        </w:rPr>
        <w:fldChar w:fldCharType="separate"/>
      </w:r>
      <w:r w:rsidRPr="00342565">
        <w:rPr>
          <w:noProof/>
          <w:color w:val="FF0000"/>
        </w:rPr>
        <w:t>Jabbouri et al., (2016)</w:t>
      </w:r>
      <w:r w:rsidRPr="00342565">
        <w:rPr>
          <w:color w:val="FF0000"/>
        </w:rPr>
        <w:fldChar w:fldCharType="end"/>
      </w:r>
      <w:r w:rsidRPr="00342565">
        <w:rPr>
          <w:color w:val="FF0000"/>
        </w:rPr>
        <w:t xml:space="preserve">, investment in information technology positively impacts company performance. The work of </w:t>
      </w:r>
      <w:r w:rsidRPr="00342565">
        <w:rPr>
          <w:color w:val="FF0000"/>
        </w:rPr>
        <w:fldChar w:fldCharType="begin" w:fldLock="1"/>
      </w:r>
      <w:r w:rsidRPr="00342565">
        <w:rPr>
          <w:color w:val="FF0000"/>
        </w:rPr>
        <w:instrText>ADDIN CSL_CITATION { "citationItems" : [ { "id" : "ITEM-1", "itemData" : { "DOI" : "10.1016/j.sbspro.2016.11.076", "ISSN" : "1877-0428", "author" : [ { "dropping-particle" : "", "family" : "Bolatan", "given" : "Gulin Idil Sonmezturk", "non-dropping-particle" : "", "parse-names" : false, "suffix" : "" }, { "dropping-particle" : "", "family" : "Gozlu", "given" : "Sitki", "non-dropping-particle" : "", "parse-names" : false, "suffix" : "" }, { "dropping-particle" : "", "family" : "Alpkan", "given" : "Lutfihak", "non-dropping-particle" : "", "parse-names" : false, "suffix" : "" }, { "dropping-particle" : "", "family" : "Zaim", "given" : "Selim", "non-dropping-particle" : "", "parse-names" : false, "suffix" : "" } ], "container-title" : "Procedia-Social and Behavioral Sciences", "id" : "ITEM-1", "issued" : { "date-parts" : [ [ "2016" ] ] }, "page" : "746-755", "publisher" : "Elsevier", "title" : "The impact of technology transfer performance on total quality management and quality performance", "type" : "paper-conference", "volume" : "235" }, "uris" : [ "http://www.mendeley.com/documents/?uuid=fef7dea7-1497-412f-b609-40fa926d9a58" ] } ], "mendeley" : { "formattedCitation" : "(Bolatan et al., 2016)", "manualFormatting" : "Bolatan, Gozlu, Alpkan, &amp; Zaim, (2016)", "plainTextFormattedCitation" : "(Bolatan et al., 2016)", "previouslyFormattedCitation" : "(Bolatan et al., 2016)" }, "properties" : { "noteIndex" : 0 }, "schema" : "https://github.com/citation-style-language/schema/raw/master/csl-citation.json" }</w:instrText>
      </w:r>
      <w:r w:rsidRPr="00342565">
        <w:rPr>
          <w:color w:val="FF0000"/>
        </w:rPr>
        <w:fldChar w:fldCharType="separate"/>
      </w:r>
      <w:r w:rsidRPr="00342565">
        <w:rPr>
          <w:noProof/>
          <w:color w:val="FF0000"/>
        </w:rPr>
        <w:t>Bolatan, Gozlu, Alpkan, &amp; Zaim, (2016)</w:t>
      </w:r>
      <w:r w:rsidRPr="00342565">
        <w:rPr>
          <w:color w:val="FF0000"/>
        </w:rPr>
        <w:fldChar w:fldCharType="end"/>
      </w:r>
      <w:r w:rsidRPr="00342565">
        <w:rPr>
          <w:color w:val="FF0000"/>
        </w:rPr>
        <w:t xml:space="preserve"> shows that technology transfer is correlated with the level of readiness in the environment, basic knowledge and willingness to learn in the business context. Research conducted by </w:t>
      </w:r>
      <w:r w:rsidRPr="00342565">
        <w:rPr>
          <w:color w:val="FF0000"/>
        </w:rPr>
        <w:fldChar w:fldCharType="begin" w:fldLock="1"/>
      </w:r>
      <w:r w:rsidRPr="00342565">
        <w:rPr>
          <w:color w:val="FF0000"/>
        </w:rPr>
        <w:instrText>ADDIN CSL_CITATION { "citationItems" : [ { "id" : "ITEM-1", "itemData" : { "author" : [ { "dropping-particle" : "", "family" : "He", "given" : "Jun", "non-dropping-particle" : "", "parse-names" : false, "suffix" : "" } ], "container-title" : "AMCIS 2014 Proceedings", "id" : "ITEM-1", "issued" : { "date-parts" : [ [ "2014" ] ] }, "page" : "1-9", "title" : "Technology adoption in hospitals \u2013 the roles of system integration and technology support", "type" : "paper-conference" }, "uris" : [ "http://www.mendeley.com/documents/?uuid=f153b061-cb5f-498e-a5bd-c56edb94e040" ] } ], "mendeley" : { "formattedCitation" : "(He, 2014)", "manualFormatting" : "He (2014)", "plainTextFormattedCitation" : "(He, 2014)", "previouslyFormattedCitation" : "(He, 2014)" }, "properties" : { "noteIndex" : 0 }, "schema" : "https://github.com/citation-style-language/schema/raw/master/csl-citation.json" }</w:instrText>
      </w:r>
      <w:r w:rsidRPr="00342565">
        <w:rPr>
          <w:color w:val="FF0000"/>
        </w:rPr>
        <w:fldChar w:fldCharType="separate"/>
      </w:r>
      <w:r w:rsidRPr="00342565">
        <w:rPr>
          <w:noProof/>
          <w:color w:val="FF0000"/>
        </w:rPr>
        <w:t>He (2014)</w:t>
      </w:r>
      <w:r w:rsidRPr="00342565">
        <w:rPr>
          <w:color w:val="FF0000"/>
        </w:rPr>
        <w:fldChar w:fldCharType="end"/>
      </w:r>
      <w:r w:rsidRPr="00342565">
        <w:rPr>
          <w:color w:val="FF0000"/>
        </w:rPr>
        <w:t xml:space="preserve"> shows that technological change adaptation increases competitive advantage. </w:t>
      </w:r>
    </w:p>
    <w:p w14:paraId="57403F6C" w14:textId="77777777" w:rsidR="00917F33" w:rsidRPr="00656FA7" w:rsidRDefault="00917F33" w:rsidP="00917F33">
      <w:pPr>
        <w:pStyle w:val="Paragraphbody"/>
      </w:pPr>
      <w:r w:rsidRPr="00430938">
        <w:t>H1: The higher the adaptation capability to technological change is, the higher the employee performance will be</w:t>
      </w:r>
    </w:p>
    <w:p w14:paraId="56CE0985" w14:textId="77777777" w:rsidR="00917F33" w:rsidRPr="00152759" w:rsidRDefault="00917F33" w:rsidP="00917F33">
      <w:pPr>
        <w:pStyle w:val="Heading2"/>
        <w:rPr>
          <w:lang w:val="en-US"/>
        </w:rPr>
      </w:pPr>
      <w:r>
        <w:rPr>
          <w:lang w:val="en-US"/>
        </w:rPr>
        <w:t xml:space="preserve">1.2. </w:t>
      </w:r>
      <w:r w:rsidRPr="00152759">
        <w:rPr>
          <w:lang w:val="en-US"/>
        </w:rPr>
        <w:t xml:space="preserve">The effect of pro-commitment to learning towards adaptation capability to technological change and employee performance </w:t>
      </w:r>
    </w:p>
    <w:p w14:paraId="395013C0" w14:textId="77777777" w:rsidR="00917F33" w:rsidRPr="00035675" w:rsidRDefault="00917F33" w:rsidP="00917F33">
      <w:pPr>
        <w:pStyle w:val="Paragraphbody"/>
      </w:pPr>
      <w:r w:rsidRPr="00035675">
        <w:t xml:space="preserve">The concept of renewal of pro-commitment to learning is adopted from the theory of organizational learning developed by </w:t>
      </w:r>
      <w:r w:rsidRPr="00035675">
        <w:fldChar w:fldCharType="begin" w:fldLock="1"/>
      </w:r>
      <w:r>
        <w:instrText>ADDIN CSL_CITATION { "citationItems" : [ { "id" : "ITEM-1", "itemData" : { "author" : [ { "dropping-particle" : "", "family" : "Argyris", "given" : "Chris", "non-dropping-particle" : "", "parse-names" : false, "suffix" : "" }, { "dropping-particle" : "", "family" : "Schon", "given" : "Donald", "non-dropping-particle" : "", "parse-names" : false, "suffix" : "" } ], "id" : "ITEM-1", "issued" : { "date-parts" : [ [ "1978" ] ] }, "publisher" : "Reading, MA: Addision Wesley", "title" : "Organizational learning: A theory of action approach", "type" : "book" }, "uris" : [ "http://www.mendeley.com/documents/?uuid=77ed14a2-69db-4a9e-876a-c51edcb577c1" ] } ], "mendeley" : { "formattedCitation" : "(Argyris &amp; Schon, 1978)", "manualFormatting" : "Argyris &amp; Schon (1978)", "plainTextFormattedCitation" : "(Argyris &amp; Schon, 1978)", "previouslyFormattedCitation" : "(Argyris &amp; Schon, 1978)" }, "properties" : { "noteIndex" : 0 }, "schema" : "https://github.com/citation-style-language/schema/raw/master/csl-citation.json" }</w:instrText>
      </w:r>
      <w:r w:rsidRPr="00035675">
        <w:fldChar w:fldCharType="separate"/>
      </w:r>
      <w:r>
        <w:rPr>
          <w:noProof/>
        </w:rPr>
        <w:t>Argyris &amp; Schon</w:t>
      </w:r>
      <w:r w:rsidRPr="002277FE">
        <w:rPr>
          <w:noProof/>
        </w:rPr>
        <w:t xml:space="preserve"> </w:t>
      </w:r>
      <w:r>
        <w:rPr>
          <w:noProof/>
        </w:rPr>
        <w:t>(</w:t>
      </w:r>
      <w:r w:rsidRPr="002277FE">
        <w:rPr>
          <w:noProof/>
        </w:rPr>
        <w:t>1978)</w:t>
      </w:r>
      <w:r w:rsidRPr="00035675">
        <w:fldChar w:fldCharType="end"/>
      </w:r>
      <w:r w:rsidRPr="00035675">
        <w:t xml:space="preserve"> and the theory of personal initiative by </w:t>
      </w:r>
      <w:r w:rsidRPr="00035675">
        <w:fldChar w:fldCharType="begin" w:fldLock="1"/>
      </w:r>
      <w:r>
        <w:instrText>ADDIN CSL_CITATION { "citationItems" : [ { "id" : "ITEM-1", "itemData" : { "author" : [ { "dropping-particle" : "", "family" : "Glaub", "given" : "Matthias E.", "non-dropping-particle" : "", "parse-names" : false, "suffix" : "" }, { "dropping-particle" : "", "family" : "Frese", "given" : "Michael", "non-dropping-particle" : "", "parse-names" : false, "suffix" : "" }, { "dropping-particle" : "", "family" : "Fischer", "given" : "Sebastian", "non-dropping-particle" : "", "parse-names" : false, "suffix" : "" }, { "dropping-particle" : "", "family" : "Hoppe", "given" : "Maria", "non-dropping-particle" : "", "parse-names" : false, "suffix" : "" } ], "container-title" : "Academy of Management Learning &amp; Education", "id" : "ITEM-1", "issue" : "3", "issued" : { "date-parts" : [ [ "2014" ] ] }, "page" : "354-379", "title" : "Increasing personal initiative in small business managers or owners leads to entrepreneurial success : A theory-based controlled randomized field intervention for evidence-based management", "type" : "article-journal", "volume" : "13" }, "uris" : [ "http://www.mendeley.com/documents/?uuid=cd2b5771-e3b8-4cf6-8b3e-10412a379fc5" ] } ], "mendeley" : { "formattedCitation" : "(Glaub et al., 2014)", "plainTextFormattedCitation" : "(Glaub et al., 2014)", "previouslyFormattedCitation" : "(Glaub et al., 2014)" }, "properties" : { "noteIndex" : 0 }, "schema" : "https://github.com/citation-style-language/schema/raw/master/csl-citation.json" }</w:instrText>
      </w:r>
      <w:r w:rsidRPr="00035675">
        <w:fldChar w:fldCharType="separate"/>
      </w:r>
      <w:r w:rsidRPr="002277FE">
        <w:rPr>
          <w:noProof/>
        </w:rPr>
        <w:t>(Glaub et al., 2014)</w:t>
      </w:r>
      <w:r w:rsidRPr="00035675">
        <w:fldChar w:fldCharType="end"/>
      </w:r>
      <w:r w:rsidRPr="00035675">
        <w:t xml:space="preserve">. Organizational learning is defined as a creative process of dynamic knowledge that is intended to develop human resources and contribute to organizational performance </w:t>
      </w:r>
      <w:r w:rsidRPr="00035675">
        <w:fldChar w:fldCharType="begin" w:fldLock="1"/>
      </w:r>
      <w:r>
        <w:instrText>ADDIN CSL_CITATION { "citationItems" : [ { "id" : "ITEM-1", "itemData" : { "DOI" : "10.1016/j.sbspro.2016.09.028", "ISSN" : "18770428", "abstract" : "Knowledge is a critical source for various organizations in recent years within competitive context of business. Organizational learning as a strategic tool has been proposed in the field of modern management for gaining competitive advantage and stabilizing organizational success. The aim of learning is not only enhancing employee's knowledge and skills but also developing and growth of the organization and building flexible dynamic learning organization. Given the strategic role of organizational learning in establishing knowledge management and promoting the main goals of organization, the present paper attempted to review the representative literature pertinent to learning, organizational learning, its main objectives, barriers, and benefits. Finally, this study presented a new perspective to today's organizational managers to enhance their organizations \u2018efficiency.", "author" : [ { "dropping-particle" : "", "family" : "Saadat", "given" : "Vajiheh", "non-dropping-particle" : "", "parse-names" : false, "suffix" : "" }, { "dropping-particle" : "", "family" : "Saadat", "given" : "Zeynab", "non-dropping-particle" : "", "parse-names" : false, "suffix" : "" } ], "container-title" : "Procedia - Social and Behavioral Sciences", "id" : "ITEM-1", "issued" : { "date-parts" : [ [ "2016" ] ] }, "page" : "219-225", "publisher" : "The Author(s)", "title" : "Organizational learning as a key role of organizational success", "type" : "paper-conference", "volume" : "230" }, "uris" : [ "http://www.mendeley.com/documents/?uuid=afceaf43-ce8c-4447-a8e6-bb0afe8ca06d" ] } ], "mendeley" : { "formattedCitation" : "(Saadat &amp; Saadat, 2016)", "plainTextFormattedCitation" : "(Saadat &amp; Saadat, 2016)", "previouslyFormattedCitation" : "(Saadat &amp; Saadat, 2016)" }, "properties" : { "noteIndex" : 0 }, "schema" : "https://github.com/citation-style-language/schema/raw/master/csl-citation.json" }</w:instrText>
      </w:r>
      <w:r w:rsidRPr="00035675">
        <w:fldChar w:fldCharType="separate"/>
      </w:r>
      <w:r w:rsidRPr="00035675">
        <w:rPr>
          <w:noProof/>
        </w:rPr>
        <w:t>(Saadat &amp; Saadat, 2016)</w:t>
      </w:r>
      <w:r w:rsidRPr="00035675">
        <w:fldChar w:fldCharType="end"/>
      </w:r>
      <w:r w:rsidRPr="00035675">
        <w:t xml:space="preserve">. Organizational learning is an important supporting factor that stimulates superior organizational performance because it involves learning new knowledge and changing behaviors. It stimulates business superiority because the organization learns faster than its competitors </w:t>
      </w:r>
      <w:r w:rsidRPr="00035675">
        <w:fldChar w:fldCharType="begin" w:fldLock="1"/>
      </w:r>
      <w:r>
        <w:instrText>ADDIN CSL_CITATION { "citationItems" : [ { "id" : "ITEM-1", "itemData" : { "author" : [ { "dropping-particle" : "", "family" : "Eshlaghy", "given" : "Abbas Toloie", "non-dropping-particle" : "", "parse-names" : false, "suffix" : "" }, { "dropping-particle" : "", "family" : "Maatofi", "given" : "Alireza", "non-dropping-particle" : "", "parse-names" : false, "suffix" : "" }, { "dropping-particle" : "", "family" : "Branch", "given" : "Gorgan", "non-dropping-particle" : "", "parse-names" : false, "suffix" : "" } ], "container-title" : "European Journal of Social Sciences", "id" : "ITEM-1", "issue" : "1", "issued" : { "date-parts" : [ [ "2011" ] ] }, "page" : "114-122", "title" : "Learning orientation, innovation and performance: Evidence from small-sized business firms in Iran", "type" : "article-journal", "volume" : "19" }, "uris" : [ "http://www.mendeley.com/documents/?uuid=70dce987-5445-4110-958e-d7dd60d9e23a" ] } ], "mendeley" : { "formattedCitation" : "(Eshlaghy et al., 2011)", "plainTextFormattedCitation" : "(Eshlaghy et al., 2011)", "previouslyFormattedCitation" : "(Eshlaghy et al., 2011)" }, "properties" : { "noteIndex" : 0 }, "schema" : "https://github.com/citation-style-language/schema/raw/master/csl-citation.json" }</w:instrText>
      </w:r>
      <w:r w:rsidRPr="00035675">
        <w:fldChar w:fldCharType="separate"/>
      </w:r>
      <w:r w:rsidRPr="002277FE">
        <w:rPr>
          <w:noProof/>
        </w:rPr>
        <w:t>(Eshlaghy et al., 2011)</w:t>
      </w:r>
      <w:r w:rsidRPr="00035675">
        <w:fldChar w:fldCharType="end"/>
      </w:r>
      <w:r w:rsidRPr="00035675">
        <w:t>.</w:t>
      </w:r>
    </w:p>
    <w:p w14:paraId="50127DD2" w14:textId="77777777" w:rsidR="00917F33" w:rsidRPr="00342565" w:rsidRDefault="00917F33" w:rsidP="00917F33">
      <w:pPr>
        <w:pStyle w:val="Paragraphbody"/>
        <w:rPr>
          <w:color w:val="FF0000"/>
        </w:rPr>
      </w:pPr>
      <w:r w:rsidRPr="00035675">
        <w:t xml:space="preserve">Organizational learning is a process that involves continuous cognitive and behavioral changes in employees </w:t>
      </w:r>
      <w:r w:rsidRPr="00035675">
        <w:fldChar w:fldCharType="begin" w:fldLock="1"/>
      </w:r>
      <w:r>
        <w:instrText>ADDIN CSL_CITATION { "citationItems" : [ { "id" : "ITEM-1", "itemData" : { "DOI" : "10.1177/1350507611408217", "author" : [ { "dropping-particle" : "", "family" : "Argote", "given" : "Linda", "non-dropping-particle" : "", "parse-names" : false, "suffix" : "" } ], "container-title" : "Management Learning", "id" : "ITEM-1", "issue" : "4", "issued" : { "date-parts" : [ [ "2011" ] ] }, "page" : "439-446", "title" : "Organizational learning research: Past, present and future", "type" : "article-journal", "volume" : "42" }, "uris" : [ "http://www.mendeley.com/documents/?uuid=912e76c3-a2ae-44a9-b46c-b183ac4de844" ] } ], "mendeley" : { "formattedCitation" : "(Argote, 2011)", "plainTextFormattedCitation" : "(Argote, 2011)", "previouslyFormattedCitation" : "(Argote, 2011)" }, "properties" : { "noteIndex" : 0 }, "schema" : "https://github.com/citation-style-language/schema/raw/master/csl-citation.json" }</w:instrText>
      </w:r>
      <w:r w:rsidRPr="00035675">
        <w:fldChar w:fldCharType="separate"/>
      </w:r>
      <w:r w:rsidRPr="00035675">
        <w:rPr>
          <w:noProof/>
        </w:rPr>
        <w:t>(Argote, 2011)</w:t>
      </w:r>
      <w:r w:rsidRPr="00035675">
        <w:fldChar w:fldCharType="end"/>
      </w:r>
      <w:r w:rsidRPr="00035675">
        <w:t xml:space="preserve">. Organizational learning is a mechanism where individuals in an organization keep on learning, to build individual </w:t>
      </w:r>
      <w:r w:rsidRPr="00342565">
        <w:rPr>
          <w:color w:val="FF0000"/>
        </w:rPr>
        <w:t xml:space="preserve">knowledge repositories within the organization so that the learning process is maintained. The specific knowledge of an individual in the organization is accessible to any member of the organization. Hence, when that individual leaves the organization, his/her knowledge will remain in various repositories or memories through routines, social networking and the organization’s memory system </w:t>
      </w:r>
      <w:r w:rsidRPr="00342565">
        <w:rPr>
          <w:color w:val="FF0000"/>
        </w:rPr>
        <w:fldChar w:fldCharType="begin" w:fldLock="1"/>
      </w:r>
      <w:r w:rsidRPr="00342565">
        <w:rPr>
          <w:color w:val="FF0000"/>
        </w:rPr>
        <w:instrText>ADDIN CSL_CITATION { "citationItems" : [ { "id" : "ITEM-1", "itemData" : { "ISSN" : "0378-8733", "author" : [ { "dropping-particle" : "", "family" : "Zappa", "given" : "Paola", "non-dropping-particle" : "", "parse-names" : false, "suffix" : "" }, { "dropping-particle" : "", "family" : "Robins", "given" : "Garry", "non-dropping-particle" : "", "parse-names" : false, "suffix" : "" } ], "container-title" : "Social Networks", "id" : "ITEM-1", "issued" : { "date-parts" : [ [ "2015" ] ] }, "page" : "295-306", "publisher" : "Elsevier B.V.", "title" : "Organizational learning across multi-level networks", "type" : "article-journal", "volume" : "44" }, "uris" : [ "http://www.mendeley.com/documents/?uuid=75ed02fb-ef01-4eb6-87c0-de4ddab250d5" ] } ], "mendeley" : { "formattedCitation" : "(Zappa &amp; Robins, 2015)", "manualFormatting" : "(Zappa and Robins, 2015)", "plainTextFormattedCitation" : "(Zappa &amp; Robins, 2015)", "previouslyFormattedCitation" : "(Zappa &amp; Robins, 2015)" }, "properties" : { "noteIndex" : 0 }, "schema" : "https://github.com/citation-style-language/schema/raw/master/csl-citation.json" }</w:instrText>
      </w:r>
      <w:r w:rsidRPr="00342565">
        <w:rPr>
          <w:color w:val="FF0000"/>
        </w:rPr>
        <w:fldChar w:fldCharType="separate"/>
      </w:r>
      <w:r w:rsidRPr="00342565">
        <w:rPr>
          <w:noProof/>
          <w:color w:val="FF0000"/>
        </w:rPr>
        <w:t>(Zappa and Robins, 2015)</w:t>
      </w:r>
      <w:r w:rsidRPr="00342565">
        <w:rPr>
          <w:color w:val="FF0000"/>
        </w:rPr>
        <w:fldChar w:fldCharType="end"/>
      </w:r>
      <w:r w:rsidRPr="00342565">
        <w:rPr>
          <w:color w:val="FF0000"/>
        </w:rPr>
        <w:t xml:space="preserve">. The findings of the research conducted by </w:t>
      </w:r>
      <w:r w:rsidRPr="00342565">
        <w:rPr>
          <w:color w:val="FF0000"/>
        </w:rPr>
        <w:fldChar w:fldCharType="begin" w:fldLock="1"/>
      </w:r>
      <w:r w:rsidRPr="00342565">
        <w:rPr>
          <w:color w:val="FF0000"/>
        </w:rPr>
        <w:instrText>ADDIN CSL_CITATION { "citationItems" : [ { "id" : "ITEM-1", "itemData" : { "DOI" : "10.1108/JMD-03-2015-0033", "author" : [ { "dropping-particle" : "", "family" : "Tajeddini", "given" : "Kayhan", "non-dropping-particle" : "", "parse-names" : false, "suffix" : "" } ], "container-title" : "Journal of Management Development", "id" : "ITEM-1", "issue" : "2", "issued" : { "date-parts" : [ [ "2016" ] ] }, "page" : "134-153", "title" : "Analyzing the influence of learning orientation and innovativeness on performance of public organizations The case of Iran", "type" : "article-journal", "volume" : "35" }, "uris" : [ "http://www.mendeley.com/documents/?uuid=23615f17-10c4-45bb-bd33-0a2621de1a4f" ] } ], "mendeley" : { "formattedCitation" : "(Tajeddini, 2016)", "manualFormatting" : "Tajeddini (2016)", "plainTextFormattedCitation" : "(Tajeddini, 2016)", "previouslyFormattedCitation" : "(Tajeddini, 2016)" }, "properties" : { "noteIndex" : 0 }, "schema" : "https://github.com/citation-style-language/schema/raw/master/csl-citation.json" }</w:instrText>
      </w:r>
      <w:r w:rsidRPr="00342565">
        <w:rPr>
          <w:color w:val="FF0000"/>
        </w:rPr>
        <w:fldChar w:fldCharType="separate"/>
      </w:r>
      <w:r w:rsidRPr="00342565">
        <w:rPr>
          <w:noProof/>
          <w:color w:val="FF0000"/>
        </w:rPr>
        <w:t>Tajeddini (2016)</w:t>
      </w:r>
      <w:r w:rsidRPr="00342565">
        <w:rPr>
          <w:color w:val="FF0000"/>
        </w:rPr>
        <w:fldChar w:fldCharType="end"/>
      </w:r>
      <w:r w:rsidRPr="00342565">
        <w:rPr>
          <w:color w:val="FF0000"/>
        </w:rPr>
        <w:t xml:space="preserve"> show that learning and innovation orientations lead to better performance of public organizations. More specifically, the results show that the orientation towards learning and innovation brings these organizations to a higher level in terms of service speed, cost improvement, public trust and performance. According to a test on the effect of proactive personality on employee performance conducted by </w:t>
      </w:r>
      <w:r w:rsidRPr="00342565">
        <w:rPr>
          <w:color w:val="FF0000"/>
        </w:rPr>
        <w:fldChar w:fldCharType="begin" w:fldLock="1"/>
      </w:r>
      <w:r w:rsidRPr="00342565">
        <w:rPr>
          <w:color w:val="FF0000"/>
        </w:rPr>
        <w:instrText>ADDIN CSL_CITATION { "citationItems" : [ { "id" : "ITEM-1", "itemData" : { "DOI" : "10.1016/j.ijhm.2018.06.014", "ISSN" : "02784319", "abstract" : "This study investigates the underlying mechanisms and boundary conditions that explain the relationship between transformational leadership and frontline employee performance. Specifically, it explores the mediating role of organizational identification and work engagement in the relationship between transformational leadership and job performance and organization-directed citizenship behaviors. Additionally, it examines whether proactive personality moderates the effect of transformational leadership on identification and engagement. Data from 323 frontline hotel employees were analyzed using partial least square regression. Results show that identification and engagement fully mediate the relationship between transformational leadership and organizational citizenship behaviors, whereas engagement partially mediates the link between transformational leadership and job performance. Results indicate a sequential mediation effect of identification and engagement on employee performance. Finally, findings show that proactive personality strengthens the effect of leadership on identification and engagement. The study provides information for hotel managers about why and under what circumstances employees perform the way they do.", "author" : [ { "dropping-particle" : "", "family" : "Buil", "given" : "Isabel", "non-dropping-particle" : "", "parse-names" : false, "suffix" : "" }, { "dropping-particle" : "", "family" : "Mart\u00ednez", "given" : "Eva", "non-dropping-particle" : "", "parse-names" : false, "suffix" : "" }, { "dropping-particle" : "", "family" : "Matute", "given" : "Jorge", "non-dropping-particle" : "", "parse-names" : false, "suffix" : "" } ], "container-title" : "International Journal of Hospitality Management", "id" : "ITEM-1", "issued" : { "date-parts" : [ [ "2019" ] ] }, "page" : "64-75", "title" : "Transformational leadership and employee performance: The role of identification, engagement and proactive personality", "type" : "article-journal", "volume" : "77" }, "uris" : [ "http://www.mendeley.com/documents/?uuid=8b309e26-1fa1-405a-bcd3-913f836ba5a9" ] } ], "mendeley" : { "formattedCitation" : "(Buil et al., 2019)", "manualFormatting" : "Buil, Mart\u00ednez and Matute (2018)", "plainTextFormattedCitation" : "(Buil et al., 2019)", "previouslyFormattedCitation" : "(Buil et al., 2019)" }, "properties" : { "noteIndex" : 0 }, "schema" : "https://github.com/citation-style-language/schema/raw/master/csl-citation.json" }</w:instrText>
      </w:r>
      <w:r w:rsidRPr="00342565">
        <w:rPr>
          <w:color w:val="FF0000"/>
        </w:rPr>
        <w:fldChar w:fldCharType="separate"/>
      </w:r>
      <w:r w:rsidRPr="00342565">
        <w:rPr>
          <w:noProof/>
          <w:color w:val="FF0000"/>
        </w:rPr>
        <w:t>Buil, Martínez and Matute (2018)</w:t>
      </w:r>
      <w:r w:rsidRPr="00342565">
        <w:rPr>
          <w:color w:val="FF0000"/>
        </w:rPr>
        <w:fldChar w:fldCharType="end"/>
      </w:r>
      <w:r w:rsidRPr="00342565">
        <w:rPr>
          <w:color w:val="FF0000"/>
        </w:rPr>
        <w:t xml:space="preserve">, a proactive personality is an important factor in career success. In general, this finding is strengthened by the prior research: an employee is more likely to have a successful career if she/he has a proactive personality.  </w:t>
      </w:r>
    </w:p>
    <w:p w14:paraId="7071CFA8" w14:textId="77777777" w:rsidR="00917F33" w:rsidRPr="00D625FA" w:rsidRDefault="00917F33" w:rsidP="00917F33">
      <w:pPr>
        <w:pStyle w:val="Paragraphbody"/>
      </w:pPr>
      <w:r w:rsidRPr="00D625FA">
        <w:t>H2: The higher the pro-commitment to learning is, the higher the adaptation capability to technological change will be</w:t>
      </w:r>
    </w:p>
    <w:p w14:paraId="59384F39" w14:textId="77777777" w:rsidR="00917F33" w:rsidRPr="00B24B2F" w:rsidRDefault="00917F33" w:rsidP="00917F33">
      <w:pPr>
        <w:pStyle w:val="Paragraphbody"/>
        <w:rPr>
          <w:iCs/>
        </w:rPr>
      </w:pPr>
      <w:r w:rsidRPr="00D625FA">
        <w:t>H3: The higher the pro-commitment to learning is, the higher the employee performance will be</w:t>
      </w:r>
    </w:p>
    <w:p w14:paraId="60442CD3" w14:textId="77777777" w:rsidR="00917F33" w:rsidRPr="00152759" w:rsidRDefault="00917F33" w:rsidP="00917F33">
      <w:pPr>
        <w:pStyle w:val="Heading2"/>
        <w:rPr>
          <w:lang w:val="en-US"/>
        </w:rPr>
      </w:pPr>
      <w:r>
        <w:rPr>
          <w:lang w:val="en-US"/>
        </w:rPr>
        <w:t xml:space="preserve">1.3. </w:t>
      </w:r>
      <w:r w:rsidRPr="00152759">
        <w:rPr>
          <w:lang w:val="en-US"/>
        </w:rPr>
        <w:t>The effect of professional experience portfolio on adaptation capability to technological change</w:t>
      </w:r>
      <w:r w:rsidRPr="00152759">
        <w:t xml:space="preserve">, </w:t>
      </w:r>
      <w:r w:rsidRPr="00152759">
        <w:rPr>
          <w:lang w:val="en-US"/>
        </w:rPr>
        <w:t>pro-commitment to learning</w:t>
      </w:r>
      <w:r w:rsidRPr="00152759">
        <w:t xml:space="preserve"> and employee performance</w:t>
      </w:r>
    </w:p>
    <w:p w14:paraId="327882CE" w14:textId="77777777" w:rsidR="00917F33" w:rsidRPr="00035675" w:rsidRDefault="00917F33" w:rsidP="00917F33">
      <w:pPr>
        <w:pStyle w:val="Paragraphbody"/>
      </w:pPr>
      <w:r w:rsidRPr="00035675">
        <w:t xml:space="preserve">According to </w:t>
      </w:r>
      <w:r w:rsidRPr="00035675">
        <w:fldChar w:fldCharType="begin" w:fldLock="1"/>
      </w:r>
      <w:r>
        <w:instrText>ADDIN CSL_CITATION { "citationItems" : [ { "id" : "ITEM-1", "itemData" : { "DOI" : "http://dx.doi.org/10.1108/SBR-04-2013-0031", "ISBN" : "1361202111116", "ISSN" : "17465680", "abstract" : "Purpose - The purpose of this paper is to explore the phenomenon of dress codes in professions. Since they can be considered as carriers of both organizational communication and individual identity, they will be central in professions as communities and through the professionalization process. Therefore, we will ask the following question: what is the role of understanding and complying with dress codes in becoming a professional? Design/methodology/approach - The empirical study consists in a series of ethnographic interviews and observations aiming at understanding dress codes' roles and dynamics in financial professions. Findings - Exploring dress codes in three typical professions in finance, we have discovered that they also are mediums of communication within the group, strengthening a certain aesthetic sense of belonging and of presenting the self. Originality/value - In this, becoming a professional can be understood as an aesthetic experience through which all senses are involved. Considering professions as being also aesthetic communities shifts the focus - or rather enlarges it - toward symbolic, corporeal and sensorial elements.", "author" : [ { "dropping-particle" : "", "family" : "Bazin", "given" : "Yoann", "non-dropping-particle" : "", "parse-names" : false, "suffix" : "" }, { "dropping-particle" : "", "family" : "Aubert-Tarby", "given" : "Cl\u00e9mence", "non-dropping-particle" : "", "parse-names" : false, "suffix" : "" } ], "container-title" : "Society and Business Review", "id" : "ITEM-1", "issue" : "3", "issued" : { "date-parts" : [ [ "2013" ] ] }, "page" : "251-268", "title" : "Dressing professional, an esthetic experience of professions", "type" : "article-journal", "volume" : "8" }, "uris" : [ "http://www.mendeley.com/documents/?uuid=c3e781ca-0628-41cf-904f-b9990cbe0e00" ] } ], "mendeley" : { "formattedCitation" : "(Bazin &amp; Aubert-Tarby, 2013)", "manualFormatting" : "Bazin and Aubert-Tarby (2013)", "plainTextFormattedCitation" : "(Bazin &amp; Aubert-Tarby, 2013)", "previouslyFormattedCitation" : "(Bazin &amp; Aubert-Tarby, 2013)" }, "properties" : { "noteIndex" : 0 }, "schema" : "https://github.com/citation-style-language/schema/raw/master/csl-citation.json" }</w:instrText>
      </w:r>
      <w:r w:rsidRPr="00035675">
        <w:fldChar w:fldCharType="separate"/>
      </w:r>
      <w:r w:rsidRPr="00035675">
        <w:rPr>
          <w:noProof/>
        </w:rPr>
        <w:t>Bazin and Aubert-Tarby (2013)</w:t>
      </w:r>
      <w:r w:rsidRPr="00035675">
        <w:fldChar w:fldCharType="end"/>
      </w:r>
      <w:r w:rsidRPr="00035675">
        <w:t>, a profession is a bunch of organized working experiences. An experience portfolio is a summary of an employee’s experiences, both professional and social. Professional experience portfolio in this research refers to the sum of an employee’s experiences in activities which are both in line and not in line with their current jobs that enable employees to acquire more knowledge, improve the skills needed in their present jobs and prepare them for their future career. Work experience is defined as the number of inter-departmental shifts and work experience in different departments.</w:t>
      </w:r>
    </w:p>
    <w:p w14:paraId="543EDEBE" w14:textId="77777777" w:rsidR="00917F33" w:rsidRPr="00035675" w:rsidRDefault="00917F33" w:rsidP="00917F33">
      <w:pPr>
        <w:pStyle w:val="Paragraphbody"/>
      </w:pPr>
      <w:r w:rsidRPr="00035675">
        <w:t xml:space="preserve">Research conducted by </w:t>
      </w:r>
      <w:r>
        <w:fldChar w:fldCharType="begin" w:fldLock="1"/>
      </w:r>
      <w:r>
        <w:instrText>ADDIN CSL_CITATION { "citationItems" : [ { "id" : "ITEM-1", "itemData" : { "author" : [ { "dropping-particle" : "", "family" : "Razak", "given" : "Abdul Razif Abdul", "non-dropping-particle" : "", "parse-names" : false, "suffix" : "" }, { "dropping-particle" : "", "family" : "Othman", "given" : "Akmal Aini", "non-dropping-particle" : "", "parse-names" : false, "suffix" : "" }, { "dropping-particle" : "", "family" : "Sundram", "given" : "Veera Pandiyan Kaliani", "non-dropping-particle" : "", "parse-names" : false, "suffix" : "" } ], "container-title" : "Procedia Economics and Finance", "id" : "ITEM-1", "issued" : { "date-parts" : [ [ "2015" ] ] }, "page" : "354-360", "title" : "The relationships of human success factor, information technology, and procurement process coordination on operational performance in building construction industry \u2013 A proposed conceptual framework", "type" : "article-journal", "volume" : "31" }, "uris" : [ "http://www.mendeley.com/documents/?uuid=6c8f1854-edb9-4465-beb6-147f522f5b21" ] } ], "mendeley" : { "formattedCitation" : "(Razak et al., 2015)", "manualFormatting" : "Razak et al., (2015)", "plainTextFormattedCitation" : "(Razak et al., 2015)", "previouslyFormattedCitation" : "(Razak et al., 2015)" }, "properties" : { "noteIndex" : 0 }, "schema" : "https://github.com/citation-style-language/schema/raw/master/csl-citation.json" }</w:instrText>
      </w:r>
      <w:r>
        <w:fldChar w:fldCharType="separate"/>
      </w:r>
      <w:r w:rsidRPr="000135BD">
        <w:rPr>
          <w:noProof/>
        </w:rPr>
        <w:t xml:space="preserve">Razak et al., </w:t>
      </w:r>
      <w:r>
        <w:rPr>
          <w:noProof/>
        </w:rPr>
        <w:t>(</w:t>
      </w:r>
      <w:r w:rsidRPr="000135BD">
        <w:rPr>
          <w:noProof/>
        </w:rPr>
        <w:t>2015)</w:t>
      </w:r>
      <w:r>
        <w:fldChar w:fldCharType="end"/>
      </w:r>
      <w:r w:rsidRPr="00035675">
        <w:t xml:space="preserve"> on the factors that affect the success of employees in using information technology showed that employee skill together with strong motivation pushed them to work faster and smarter in adapting to more complex information technologies.</w:t>
      </w:r>
      <w:r>
        <w:t xml:space="preserve"> </w:t>
      </w:r>
      <w:r w:rsidRPr="00342565">
        <w:rPr>
          <w:color w:val="FF0000"/>
        </w:rPr>
        <w:t xml:space="preserve">Research by </w:t>
      </w:r>
      <w:r w:rsidRPr="00342565">
        <w:rPr>
          <w:color w:val="FF0000"/>
        </w:rPr>
        <w:fldChar w:fldCharType="begin" w:fldLock="1"/>
      </w:r>
      <w:r w:rsidRPr="00342565">
        <w:rPr>
          <w:color w:val="FF0000"/>
        </w:rPr>
        <w:instrText>ADDIN CSL_CITATION { "citationItems" : [ { "id" : "ITEM-1", "itemData" : { "DOI" : "10.1108/JMHTEP-11-2014-0034", "ISSN" : "1755-6228", "author" : [ { "dropping-particle" : "", "family" : "Gulfi", "given" : "Alida", "non-dropping-particle" : "", "parse-names" : false, "suffix" : "" }, { "dropping-particle" : "", "family" : "Heeb", "given" : "Jean-Luc", "non-dropping-particle" : "", "parse-names" : false, "suffix" : "" }, { "dropping-particle" : "", "family" : "Castelli Dransart", "given" : "Dolores Angela", "non-dropping-particle" : "", "parse-names" : false, "suffix" : "" }, { "dropping-particle" : "", "family" : "Gutjahr", "given" : "Elisabeth", "non-dropping-particle" : "", "parse-names" : false, "suffix" : "" } ], "container-title" : "The Journal of Mental Health Training, Education and Practice", "id" : "ITEM-1", "issue" : "4", "issued" : { "date-parts" : [ [ "2015" ] ] }, "page" : "256-267", "title" : "Professional reactions and changes in practice following patient suicide: what do we know about mental health professionals\u2019 profiles?", "type" : "article-journal", "volume" : "10" }, "uris" : [ "http://www.mendeley.com/documents/?uuid=5bc47012-8955-4fc9-9ff2-84e286445a4e" ] } ], "mendeley" : { "formattedCitation" : "(Gulfi et al., 2015)", "manualFormatting" : "Gulfi, Heeb, Castelli Dransart and Gutjahr (2015)", "plainTextFormattedCitation" : "(Gulfi et al., 2015)", "previouslyFormattedCitation" : "(Gulfi et al., 2015)" }, "properties" : { "noteIndex" : 0 }, "schema" : "https://github.com/citation-style-language/schema/raw/master/csl-citation.json" }</w:instrText>
      </w:r>
      <w:r w:rsidRPr="00342565">
        <w:rPr>
          <w:color w:val="FF0000"/>
        </w:rPr>
        <w:fldChar w:fldCharType="separate"/>
      </w:r>
      <w:r w:rsidRPr="00342565">
        <w:rPr>
          <w:noProof/>
          <w:color w:val="FF0000"/>
        </w:rPr>
        <w:t>Gulfi, Heeb, Castelli Dransart and Gutjahr (2015)</w:t>
      </w:r>
      <w:r w:rsidRPr="00342565">
        <w:rPr>
          <w:color w:val="FF0000"/>
        </w:rPr>
        <w:fldChar w:fldCharType="end"/>
      </w:r>
      <w:r w:rsidRPr="00342565">
        <w:rPr>
          <w:color w:val="FF0000"/>
        </w:rPr>
        <w:t xml:space="preserve"> shows that professional experience stimulates a more effective and efficient system change. This finding is in accordance with </w:t>
      </w:r>
      <w:r w:rsidRPr="00342565">
        <w:rPr>
          <w:color w:val="FF0000"/>
        </w:rPr>
        <w:fldChar w:fldCharType="begin" w:fldLock="1"/>
      </w:r>
      <w:r w:rsidRPr="00342565">
        <w:rPr>
          <w:color w:val="FF0000"/>
        </w:rPr>
        <w:instrText>ADDIN CSL_CITATION { "citationItems" : [ { "id" : "ITEM-1", "itemData" : { "ISSN" : "1463-578X", "author" : [ { "dropping-particle" : "", "family" : "Poon", "given" : "Joanna", "non-dropping-particle" : "", "parse-names" : false, "suffix" : "" }, { "dropping-particle" : "", "family" : "Brownlow", "given" : "Michael", "non-dropping-particle" : "", "parse-names" : false, "suffix" : "" } ], "container-title" : "Journal of Property Investment &amp; Finance", "id" : "ITEM-1", "issue" : "3", "issued" : { "date-parts" : [ [ "2014" ] ] }, "page" : "256-281", "publisher" : "Emerald Group Publishing Limited", "title" : "Competency expectations for property professionals in Australia", "type" : "article-journal", "volume" : "32" }, "uris" : [ "http://www.mendeley.com/documents/?uuid=d4c717b9-341a-4946-9873-5b9b01a1690d" ] } ], "mendeley" : { "formattedCitation" : "(Poon &amp; Brownlow, 2014)", "manualFormatting" : "Poon &amp; Brownlow (2014)", "plainTextFormattedCitation" : "(Poon &amp; Brownlow, 2014)", "previouslyFormattedCitation" : "(Poon &amp; Brownlow, 2014)" }, "properties" : { "noteIndex" : 0 }, "schema" : "https://github.com/citation-style-language/schema/raw/master/csl-citation.json" }</w:instrText>
      </w:r>
      <w:r w:rsidRPr="00342565">
        <w:rPr>
          <w:color w:val="FF0000"/>
        </w:rPr>
        <w:fldChar w:fldCharType="separate"/>
      </w:r>
      <w:r w:rsidRPr="00342565">
        <w:rPr>
          <w:noProof/>
          <w:color w:val="FF0000"/>
        </w:rPr>
        <w:t>Poon &amp; Brownlow (2014)</w:t>
      </w:r>
      <w:r w:rsidRPr="00342565">
        <w:rPr>
          <w:color w:val="FF0000"/>
        </w:rPr>
        <w:fldChar w:fldCharType="end"/>
      </w:r>
      <w:r w:rsidRPr="00342565">
        <w:rPr>
          <w:color w:val="FF0000"/>
        </w:rPr>
        <w:t xml:space="preserve"> which showed that professional experience in property businesses stimulates the ability to communicate using digital technologies, and experience in operating digital technologies increases the level of practical experience and knowledge about international properties which in turn stimulates these professionals. </w:t>
      </w:r>
      <w:r w:rsidRPr="00342565">
        <w:rPr>
          <w:color w:val="FF0000"/>
        </w:rPr>
        <w:fldChar w:fldCharType="begin" w:fldLock="1"/>
      </w:r>
      <w:r w:rsidRPr="00342565">
        <w:rPr>
          <w:color w:val="FF0000"/>
        </w:rPr>
        <w:instrText>ADDIN CSL_CITATION { "citationItems" : [ { "id" : "ITEM-1", "itemData" : { "DOI" : "10.1108/IJOA-03-2018-1389", "author" : [ { "dropping-particle" : "", "family" : "Woo", "given" : "Heejin", "non-dropping-particle" : "", "parse-names" : false, "suffix" : "" } ], "container-title" : "International Journal of Organizational Analysis", "id" : "ITEM-1", "issued" : { "date-parts" : [ [ "2018" ] ] }, "title" : "New CEOs\u2019 previous experience and acquisition performance", "type" : "article-journal" }, "uris" : [ "http://www.mendeley.com/documents/?uuid=c002f9a0-e11b-426c-9f6c-e6646128b2cd" ] } ], "mendeley" : { "formattedCitation" : "(Woo, 2018)", "manualFormatting" : "Woo (2018)", "plainTextFormattedCitation" : "(Woo, 2018)", "previouslyFormattedCitation" : "(Woo, 2018)" }, "properties" : { "noteIndex" : 0 }, "schema" : "https://github.com/citation-style-language/schema/raw/master/csl-citation.json" }</w:instrText>
      </w:r>
      <w:r w:rsidRPr="00342565">
        <w:rPr>
          <w:color w:val="FF0000"/>
        </w:rPr>
        <w:fldChar w:fldCharType="separate"/>
      </w:r>
      <w:r w:rsidRPr="00342565">
        <w:rPr>
          <w:noProof/>
          <w:color w:val="FF0000"/>
        </w:rPr>
        <w:t>Woo (2018)</w:t>
      </w:r>
      <w:r w:rsidRPr="00342565">
        <w:rPr>
          <w:color w:val="FF0000"/>
        </w:rPr>
        <w:fldChar w:fldCharType="end"/>
      </w:r>
      <w:r w:rsidRPr="00342565">
        <w:rPr>
          <w:color w:val="FF0000"/>
        </w:rPr>
        <w:t xml:space="preserve"> explains that new CEO multi-organizational experiences are positively related to acquisition performance. The multi-organizational experience in leading acquisitions further increases the flexibility and agility of the CEO to face various challenges. The more employees with linear experience a company has, the greater the chance the company has to adapt to changes. </w:t>
      </w:r>
    </w:p>
    <w:p w14:paraId="0AF40AEC" w14:textId="77777777" w:rsidR="00917F33" w:rsidRPr="00D625FA" w:rsidRDefault="00917F33" w:rsidP="00917F33">
      <w:pPr>
        <w:pStyle w:val="Paragraphbody"/>
      </w:pPr>
      <w:r w:rsidRPr="00D625FA">
        <w:t>H4: the higher the professional experience portfolio is, the higher the adaptability to technological change will be</w:t>
      </w:r>
    </w:p>
    <w:p w14:paraId="4F53C8CA" w14:textId="77777777" w:rsidR="00917F33" w:rsidRPr="00D625FA" w:rsidRDefault="00917F33" w:rsidP="00917F33">
      <w:pPr>
        <w:pStyle w:val="Paragraphbody"/>
      </w:pPr>
      <w:r w:rsidRPr="00D625FA">
        <w:t>H5: the higher the professional experience portfolio is, the higher the pro-commitment to learning will be</w:t>
      </w:r>
    </w:p>
    <w:p w14:paraId="5C4ACB0B" w14:textId="77777777" w:rsidR="00917F33" w:rsidRPr="00035675" w:rsidRDefault="00917F33" w:rsidP="00917F33">
      <w:pPr>
        <w:pStyle w:val="Paragraphbody"/>
      </w:pPr>
      <w:r>
        <w:t xml:space="preserve">H6: </w:t>
      </w:r>
      <w:r w:rsidRPr="00D625FA">
        <w:t>the higher the professional experience portfolio is, the higher the employee performance will be</w:t>
      </w:r>
    </w:p>
    <w:p w14:paraId="3C5C40C9" w14:textId="77777777" w:rsidR="00917F33" w:rsidRPr="00152759" w:rsidRDefault="00917F33" w:rsidP="00917F33">
      <w:pPr>
        <w:pStyle w:val="Heading1"/>
        <w:rPr>
          <w:lang w:val="en-US"/>
        </w:rPr>
      </w:pPr>
      <w:r>
        <w:rPr>
          <w:lang w:val="en-US"/>
        </w:rPr>
        <w:t xml:space="preserve">2. </w:t>
      </w:r>
      <w:r w:rsidRPr="00152759">
        <w:rPr>
          <w:lang w:val="en-US"/>
        </w:rPr>
        <w:t>Methodology</w:t>
      </w:r>
    </w:p>
    <w:p w14:paraId="3A2E260D" w14:textId="77777777" w:rsidR="00917F33" w:rsidRPr="00152759" w:rsidRDefault="00917F33" w:rsidP="00917F33">
      <w:pPr>
        <w:pStyle w:val="Heading2"/>
        <w:rPr>
          <w:lang w:val="en-US"/>
        </w:rPr>
      </w:pPr>
      <w:r>
        <w:rPr>
          <w:lang w:val="en-US"/>
        </w:rPr>
        <w:t xml:space="preserve">2.1. </w:t>
      </w:r>
      <w:r w:rsidRPr="00152759">
        <w:rPr>
          <w:lang w:val="en-US"/>
        </w:rPr>
        <w:t xml:space="preserve">Data </w:t>
      </w:r>
      <w:r>
        <w:rPr>
          <w:lang w:val="en-US"/>
        </w:rPr>
        <w:t>c</w:t>
      </w:r>
      <w:r w:rsidRPr="00152759">
        <w:rPr>
          <w:lang w:val="en-US"/>
        </w:rPr>
        <w:t>ol</w:t>
      </w:r>
      <w:r>
        <w:rPr>
          <w:lang w:val="en-US"/>
        </w:rPr>
        <w:t>lection and s</w:t>
      </w:r>
      <w:r w:rsidRPr="00152759">
        <w:rPr>
          <w:lang w:val="en-US"/>
        </w:rPr>
        <w:t>ample</w:t>
      </w:r>
    </w:p>
    <w:p w14:paraId="1776A20F" w14:textId="77777777" w:rsidR="00917F33" w:rsidRPr="00FB078C" w:rsidRDefault="00917F33" w:rsidP="00917F33">
      <w:pPr>
        <w:pStyle w:val="Paragraphbody"/>
        <w:rPr>
          <w:color w:val="FF0000"/>
        </w:rPr>
      </w:pPr>
      <w:r w:rsidRPr="00FB078C">
        <w:rPr>
          <w:color w:val="FF0000"/>
        </w:rPr>
        <w:t xml:space="preserve">The object of this research is the managers and middle managers of PT POS Region VI Central Java and Istimewa Region Yogyakarta (DIY). The Central Java region includes the areas of Surakarta, Sragen, Karanganyar, Wonogiri, Klaten, Sukoharjo, Boyolali, Salatiga, Magelang, Purwokerto, Cilacap, Semarang, Ungaran, Pati, Demak and Kudus. While the Yogyakarta region includes Bantul and Sleman. Because the population studied involves different levels and each level has its own characteristics, this study uses stratified random sampling </w:t>
      </w:r>
      <w:r w:rsidRPr="00FB078C">
        <w:rPr>
          <w:color w:val="FF0000"/>
        </w:rPr>
        <w:fldChar w:fldCharType="begin" w:fldLock="1"/>
      </w:r>
      <w:r w:rsidRPr="00FB078C">
        <w:rPr>
          <w:color w:val="FF0000"/>
        </w:rPr>
        <w:instrText>ADDIN CSL_CITATION { "citationItems" : [ { "id" : "ITEM-1", "itemData" : { "author" : [ { "dropping-particle" : "", "family" : "Hair", "given" : "Joseph F", "non-dropping-particle" : "", "parse-names" : false, "suffix" : "" }, { "dropping-particle" : "", "family" : "Anderson", "given" : "Rolph E", "non-dropping-particle" : "", "parse-names" : false, "suffix" : "" }, { "dropping-particle" : "", "family" : "Babin", "given" : "Barry J", "non-dropping-particle" : "", "parse-names" : false, "suffix" : "" }, { "dropping-particle" : "", "family" : "Black", "given" : "Wiiliam C", "non-dropping-particle" : "", "parse-names" : false, "suffix" : "" } ], "id" : "ITEM-1", "issued" : { "date-parts" : [ [ "2010" ] ] }, "publisher" : "Pearson Upper Saddle River, NJ", "title" : "Multivariate data analysis: A global perspective", "type" : "book", "volume" : "7" }, "uris" : [ "http://www.mendeley.com/documents/?uuid=04e80a4e-2403-4d44-b732-171a4f0b7f9e" ] } ], "mendeley" : { "formattedCitation" : "(Hair et al., 2010)", "plainTextFormattedCitation" : "(Hair et al., 2010)", "previouslyFormattedCitation" : "(Hair et al., 2010)" }, "properties" : { "noteIndex" : 0 }, "schema" : "https://github.com/citation-style-language/schema/raw/master/csl-citation.json" }</w:instrText>
      </w:r>
      <w:r w:rsidRPr="00FB078C">
        <w:rPr>
          <w:color w:val="FF0000"/>
        </w:rPr>
        <w:fldChar w:fldCharType="separate"/>
      </w:r>
      <w:r w:rsidRPr="00FB078C">
        <w:rPr>
          <w:noProof/>
          <w:color w:val="FF0000"/>
        </w:rPr>
        <w:t>(Hair et al., 2010)</w:t>
      </w:r>
      <w:r w:rsidRPr="00FB078C">
        <w:rPr>
          <w:color w:val="FF0000"/>
        </w:rPr>
        <w:fldChar w:fldCharType="end"/>
      </w:r>
      <w:r w:rsidRPr="00FB078C">
        <w:rPr>
          <w:color w:val="FF0000"/>
        </w:rPr>
        <w:t>. Furthermore, this study chose disproportional random sampling because of the representation of a large sample that needed more attention (for example, a POS office with type B received more attention than type C, D or E because type B have the larger number of employees)</w:t>
      </w:r>
    </w:p>
    <w:p w14:paraId="3D33CB0D" w14:textId="77777777" w:rsidR="00917F33" w:rsidRPr="00FB078C" w:rsidRDefault="00917F33" w:rsidP="00917F33">
      <w:pPr>
        <w:pStyle w:val="Paragraphbody"/>
        <w:rPr>
          <w:color w:val="FF0000"/>
        </w:rPr>
      </w:pPr>
      <w:r w:rsidRPr="00FB078C">
        <w:rPr>
          <w:color w:val="FF0000"/>
        </w:rPr>
        <w:t xml:space="preserve">To anticipate a low response rate, this study distributes 300 questionnaires in the hope that returning questionnaires can meet the specified sample size. Of the 300 questionnaires distributed, the number of questionnaires returned was 230 questionnaires, and there were 7 questionnaires declared ineligible so that the proper questionnaires used in this study amounted to 223 because those number have satisfied required sample for Maximum Likelihood Estimation (MLE) </w:t>
      </w:r>
      <w:r w:rsidRPr="00FB078C">
        <w:rPr>
          <w:color w:val="FF0000"/>
        </w:rPr>
        <w:fldChar w:fldCharType="begin" w:fldLock="1"/>
      </w:r>
      <w:r w:rsidRPr="00FB078C">
        <w:rPr>
          <w:color w:val="FF0000"/>
        </w:rPr>
        <w:instrText>ADDIN CSL_CITATION { "citationItems" : [ { "id" : "ITEM-1", "itemData" : { "author" : [ { "dropping-particle" : "", "family" : "Hair", "given" : "Joseph F", "non-dropping-particle" : "", "parse-names" : false, "suffix" : "" }, { "dropping-particle" : "", "family" : "Anderson", "given" : "Rolph E", "non-dropping-particle" : "", "parse-names" : false, "suffix" : "" }, { "dropping-particle" : "", "family" : "Babin", "given" : "Barry J", "non-dropping-particle" : "", "parse-names" : false, "suffix" : "" }, { "dropping-particle" : "", "family" : "Black", "given" : "Wiiliam C", "non-dropping-particle" : "", "parse-names" : false, "suffix" : "" } ], "id" : "ITEM-1", "issued" : { "date-parts" : [ [ "2010" ] ] }, "publisher" : "Pearson Upper Saddle River, NJ", "title" : "Multivariate data analysis: A global perspective", "type" : "book", "volume" : "7" }, "uris" : [ "http://www.mendeley.com/documents/?uuid=04e80a4e-2403-4d44-b732-171a4f0b7f9e" ] } ], "mendeley" : { "formattedCitation" : "(Hair et al., 2010)", "plainTextFormattedCitation" : "(Hair et al., 2010)", "previouslyFormattedCitation" : "(Hair et al., 2010)" }, "properties" : { "noteIndex" : 0 }, "schema" : "https://github.com/citation-style-language/schema/raw/master/csl-citation.json" }</w:instrText>
      </w:r>
      <w:r w:rsidRPr="00FB078C">
        <w:rPr>
          <w:color w:val="FF0000"/>
        </w:rPr>
        <w:fldChar w:fldCharType="separate"/>
      </w:r>
      <w:r w:rsidRPr="00FB078C">
        <w:rPr>
          <w:noProof/>
          <w:color w:val="FF0000"/>
        </w:rPr>
        <w:t>(Hair et al., 2010)</w:t>
      </w:r>
      <w:r w:rsidRPr="00FB078C">
        <w:rPr>
          <w:color w:val="FF0000"/>
        </w:rPr>
        <w:fldChar w:fldCharType="end"/>
      </w:r>
      <w:r w:rsidRPr="00FB078C">
        <w:rPr>
          <w:color w:val="FF0000"/>
        </w:rPr>
        <w:t>. After testing the normality of the data, abnormal data was found. Then the outlier data was excluded so that the sample is reduced to 158 respondents.</w:t>
      </w:r>
    </w:p>
    <w:p w14:paraId="07019502" w14:textId="77777777" w:rsidR="00917F33" w:rsidRPr="00152759" w:rsidRDefault="00917F33" w:rsidP="00917F33">
      <w:pPr>
        <w:pStyle w:val="Heading2"/>
        <w:rPr>
          <w:lang w:val="en-US"/>
        </w:rPr>
      </w:pPr>
      <w:r>
        <w:rPr>
          <w:lang w:val="en-US"/>
        </w:rPr>
        <w:t xml:space="preserve">2.2. </w:t>
      </w:r>
      <w:r w:rsidRPr="00152759">
        <w:rPr>
          <w:lang w:val="en-US"/>
        </w:rPr>
        <w:t xml:space="preserve">Measurement of </w:t>
      </w:r>
      <w:r>
        <w:rPr>
          <w:lang w:val="en-US"/>
        </w:rPr>
        <w:t>s</w:t>
      </w:r>
      <w:r w:rsidRPr="00152759">
        <w:rPr>
          <w:lang w:val="en-US"/>
        </w:rPr>
        <w:t>cale</w:t>
      </w:r>
    </w:p>
    <w:p w14:paraId="62BE14B0" w14:textId="77777777" w:rsidR="00917F33" w:rsidRPr="00D625FA" w:rsidRDefault="00917F33" w:rsidP="00917F33">
      <w:pPr>
        <w:pStyle w:val="Paragraphbody"/>
      </w:pPr>
      <w:r w:rsidRPr="00035675">
        <w:t xml:space="preserve">A professional experience portfolio </w:t>
      </w:r>
      <w:r w:rsidRPr="00035675">
        <w:fldChar w:fldCharType="begin" w:fldLock="1"/>
      </w:r>
      <w:r>
        <w:instrText>ADDIN CSL_CITATION { "citationItems" : [ { "id" : "ITEM-1", "itemData" : { "abstract" : "The main purpose of this study is evaluating the affecting factors of labor productivity such as stress, work experience, motivation, and training from point of mangers opinions Mazandaran SMEs. Data collected in this study was a researcher made questionnaire. The coefficients of internal reliability measurement to indicate acceptable means was used. The alpha coefficient was equal to item 0/89, the experience factor of 0/82, agent training, 0/82, motivation 0/78, managing stress, 0/73, the operating efficiency of 0/78. In order to analyze the data resulted from collected questionnaires deductive and descriptive statistical methods are used. The results Kolmogorov-Smirnov Test shows the test distribution is not normal. So the authors can use Pearson Correlation coefficients to test the hypothesis of the research. In order to determine the relationship between the variables of the study, the SPSS tool has been used. Findings show that stress, work experience, motivation, and training has relationship with labor productivity in Mazandaran SMEs.", "author" : [ { "dropping-particle" : "", "family" : "Khojamli", "given" : "Mansour", "non-dropping-particle" : "", "parse-names" : false, "suffix" : "" }, { "dropping-particle" : "", "family" : "Habibi", "given" : "Mansoureh", "non-dropping-particle" : "", "parse-names" : false, "suffix" : "" }, { "dropping-particle" : "", "family" : "Hossein", "given" : "Maziar", "non-dropping-particle" : "", "parse-names" : false, "suffix" : "" }, { "dropping-particle" : "", "family" : "Kazemiyan", "given" : "Mehraneh", "non-dropping-particle" : "", "parse-names" : false, "suffix" : "" } ], "container-title" : "Kuwait Chapter of the Arabian Journal of Business and Management Review", "id" : "ITEM-1", "issue" : "11a", "issued" : { "date-parts" : [ [ "2014" ] ] }, "page" : "31-35", "title" : "The relationship between work experience, motivation, training and stress with labor productivity", "type" : "article-journal", "volume" : "3" }, "uris" : [ "http://www.mendeley.com/documents/?uuid=96d6a7cf-accc-4ced-bfbf-302e6dc6cfb5" ] }, { "id" : "ITEM-2", "itemData" : { "DOI" : "http://dx.doi.org/10.1108/SBR-04-2013-0031", "ISBN" : "1361202111116", "ISSN" : "17465680", "abstract" : "Purpose - The purpose of this paper is to explore the phenomenon of dress codes in professions. Since they can be considered as carriers of both organizational communication and individual identity, they will be central in professions as communities and through the professionalization process. Therefore, we will ask the following question: what is the role of understanding and complying with dress codes in becoming a professional? Design/methodology/approach - The empirical study consists in a series of ethnographic interviews and observations aiming at understanding dress codes' roles and dynamics in financial professions. Findings - Exploring dress codes in three typical professions in finance, we have discovered that they also are mediums of communication within the group, strengthening a certain aesthetic sense of belonging and of presenting the self. Originality/value - In this, becoming a professional can be understood as an aesthetic experience through which all senses are involved. Considering professions as being also aesthetic communities shifts the focus - or rather enlarges it - toward symbolic, corporeal and sensorial elements.", "author" : [ { "dropping-particle" : "", "family" : "Bazin", "given" : "Yoann", "non-dropping-particle" : "", "parse-names" : false, "suffix" : "" }, { "dropping-particle" : "", "family" : "Aubert-Tarby", "given" : "Cl\u00e9mence", "non-dropping-particle" : "", "parse-names" : false, "suffix" : "" } ], "container-title" : "Society and Business Review", "id" : "ITEM-2", "issue" : "3", "issued" : { "date-parts" : [ [ "2013" ] ] }, "page" : "251-268", "title" : "Dressing professional, an esthetic experience of professions", "type" : "article-journal", "volume" : "8" }, "uris" : [ "http://www.mendeley.com/documents/?uuid=c3e781ca-0628-41cf-904f-b9990cbe0e00" ] } ], "mendeley" : { "formattedCitation" : "(Bazin &amp; Aubert-Tarby, 2013; Khojamli et al., 2014)", "plainTextFormattedCitation" : "(Bazin &amp; Aubert-Tarby, 2013; Khojamli et al., 2014)", "previouslyFormattedCitation" : "(Bazin &amp; Aubert-Tarby, 2013; Khojamli et al., 2014)" }, "properties" : { "noteIndex" : 0 }, "schema" : "https://github.com/citation-style-language/schema/raw/master/csl-citation.json" }</w:instrText>
      </w:r>
      <w:r w:rsidRPr="00035675">
        <w:fldChar w:fldCharType="separate"/>
      </w:r>
      <w:r w:rsidRPr="002277FE">
        <w:rPr>
          <w:noProof/>
        </w:rPr>
        <w:t>(Bazin &amp; Aubert-Tarby, 2013; Khojamli et al., 2014)</w:t>
      </w:r>
      <w:r w:rsidRPr="00035675">
        <w:fldChar w:fldCharType="end"/>
      </w:r>
      <w:r w:rsidRPr="00035675">
        <w:t xml:space="preserve"> is a summary of employee work experience, like linear work experience, and inclusive of various work experience and cross-field experience. Pro-commitment to learning </w:t>
      </w:r>
      <w:r>
        <w:fldChar w:fldCharType="begin" w:fldLock="1"/>
      </w:r>
      <w:r>
        <w:instrText>ADDIN CSL_CITATION { "citationItems" : [ { "id" : "ITEM-1", "itemData" : { "DOI" : "10.1007/s10869-009-9126-0", "ISSN" : "08893268", "PMID" : "1536981", "abstract" : "Flying-type sliders with the integration of optical components were developed for Near-Field Recording (NFR) and Far-Field Recording (FFR) technologies. The key design issue was the integration of the optical components with the slider. Due to the size of the lenses mounted on it, the slider had to be relatively large, corresponding to the size of a micro-slider. Also, the non-uniform distribution of the slider body density was incorporated in the design. As for the optical disk substrate, a plastic material such as polycarbonate was investigated because of its manufacturing convenience and cost effectiveness. The flying and tribological performance of the prototype optical sliders on various media were assessed. The results showed that the tribological characteristics of the slider/disk interface were sensitive to several factors including the properties of the disk. Adequate flying characteristics of the optical sliders on glass (NFR) and plastic (FFR) disks could be attained by optimizing these parameters. \u00a9 2005 Elsevier Ltd. All rights reserved.", "author" : [ { "dropping-particle" : "", "family" : "Maurer", "given" : "Todd J.", "non-dropping-particle" : "", "parse-names" : false, "suffix" : "" }, { "dropping-particle" : "", "family" : "Weiss", "given" : "Elizabeth M.", "non-dropping-particle" : "", "parse-names" : false, "suffix" : "" } ], "container-title" : "J Bus Psychol", "id" : "ITEM-1", "issued" : { "date-parts" : [ [ "2010" ] ] }, "page" : "1-13", "title" : "Continuous learning skill demands: Associations with managerial job content, age, and experience", "type" : "article-journal", "volume" : "25" }, "uris" : [ "http://www.mendeley.com/documents/?uuid=d83ea5cd-1f93-43d0-961a-640428bf7bdb" ] }, { "id" : "ITEM-2", "itemData" : { "DOI" : "10.1016/S2212-5671(15)00979-X", "ISSN" : "22125671", "abstract" : "In the article, authors try to prove how important role, management of employees commitment plays in the process of organization transformation and how significantly it is affected by the effective communication and supporting managers by the proper tools. In the first two sections, theoretical considerations on building employees commitment and management were presented. In the next section, based on analysis of documentation and observation, the ways to build employees commitment in the process of transformation of cross-border organization were identified.", "author" : [ { "dropping-particle" : "", "family" : "Brzezi\u0144ski", "given" : "Stanis\u0142aw", "non-dropping-particle" : "", "parse-names" : false, "suffix" : "" }, { "dropping-particle" : "", "family" : "B\u0105k", "given" : "Agnieszka", "non-dropping-particle" : "", "parse-names" : false, "suffix" : "" } ], "container-title" : "Procedia Economics and Finance", "id" : "ITEM-2", "issue" : "15", "issued" : { "date-parts" : [ [ "2015" ] ] }, "page" : "109-115", "title" : "Management of employees\u2019 commitment in the process of organization transformation", "type" : "paper-conference", "volume" : "27" }, "uris" : [ "http://www.mendeley.com/documents/?uuid=915e878c-8c79-432c-84ca-c82f13e64cdf" ] }, { "id" : "ITEM-3", "itemData" : { "author" : [ { "dropping-particle" : "", "family" : "Eshlaghy", "given" : "Abbas Toloie", "non-dropping-particle" : "", "parse-names" : false, "suffix" : "" }, { "dropping-particle" : "", "family" : "Maatofi", "given" : "Alireza", "non-dropping-particle" : "", "parse-names" : false, "suffix" : "" }, { "dropping-particle" : "", "family" : "Branch", "given" : "Gorgan", "non-dropping-particle" : "", "parse-names" : false, "suffix" : "" } ], "container-title" : "European Journal of Social Sciences", "id" : "ITEM-3", "issue" : "1", "issued" : { "date-parts" : [ [ "2011" ] ] }, "page" : "114-122", "title" : "Learning orientation, innovation and performance: Evidence from small-sized business firms in Iran", "type" : "article-journal", "volume" : "19" }, "uris" : [ "http://www.mendeley.com/documents/?uuid=70dce987-5445-4110-958e-d7dd60d9e23a" ] } ], "mendeley" : { "formattedCitation" : "(Brzezi\u0144ski &amp; B\u0105k, 2015; Eshlaghy et al., 2011; Maurer &amp; Weiss, 2010)", "plainTextFormattedCitation" : "(Brzezi\u0144ski &amp; B\u0105k, 2015; Eshlaghy et al., 2011; Maurer &amp; Weiss, 2010)", "previouslyFormattedCitation" : "(Brzezi\u0144ski &amp; B\u0105k, 2015; Eshlaghy et al., 2011; Maurer &amp; Weiss, 2010)" }, "properties" : { "noteIndex" : 0 }, "schema" : "https://github.com/citation-style-language/schema/raw/master/csl-citation.json" }</w:instrText>
      </w:r>
      <w:r>
        <w:fldChar w:fldCharType="separate"/>
      </w:r>
      <w:r w:rsidRPr="007D7342">
        <w:rPr>
          <w:noProof/>
        </w:rPr>
        <w:t>(Brzeziński &amp; Bąk, 2015; Eshlaghy et al., 2011; Maurer &amp; Weiss, 2010)</w:t>
      </w:r>
      <w:r>
        <w:fldChar w:fldCharType="end"/>
      </w:r>
      <w:r w:rsidRPr="00035675">
        <w:t xml:space="preserve"> is the commitment of employees to learn. In relation to commitment to learning, a good employee is one who continuously strives to learn and understand customer needs, actively improves her/his skills to create new opportunities, actively makes innovations on products and processes, and endeavors to exceed competitors. Adaptability to technological change </w:t>
      </w:r>
      <w:r w:rsidRPr="00035675">
        <w:fldChar w:fldCharType="begin" w:fldLock="1"/>
      </w:r>
      <w:r>
        <w:instrText>ADDIN CSL_CITATION { "citationItems" : [ { "id" : "ITEM-1", "itemData" : { "author" : [ { "dropping-particle" : "", "family" : "Park", "given" : "Kyungja", "non-dropping-particle" : "", "parse-names" : false, "suffix" : "" }, { "dropping-particle" : "", "family" : "Koh", "given" : "Joon", "non-dropping-particle" : "", "parse-names" : false, "suffix" : "" } ], "container-title" : "Computers in Human Behavior", "id" : "ITEM-1", "issued" : { "date-parts" : [ [ "2017" ] ] }, "page" : "142-150", "title" : "Exploring the relationship between perceived pace of technology change and adoption resistance to convergence products", "type" : "article-journal", "volume" : "69" }, "uris" : [ "http://www.mendeley.com/documents/?uuid=f3c268ab-0ccb-4fb1-ad8b-7e74c585c7c8" ] }, { "id" : "ITEM-2", "itemData" : { "author" : [ { "dropping-particle" : "", "family" : "Razak", "given" : "Abdul Razif Abdul", "non-dropping-particle" : "", "parse-names" : false, "suffix" : "" }, { "dropping-particle" : "", "family" : "Othman", "given" : "Akmal Aini", "non-dropping-particle" : "", "parse-names" : false, "suffix" : "" }, { "dropping-particle" : "", "family" : "Sundram", "given" : "Veera Pandiyan Kaliani", "non-dropping-particle" : "", "parse-names" : false, "suffix" : "" } ], "container-title" : "Procedia Economics and Finance", "id" : "ITEM-2", "issued" : { "date-parts" : [ [ "2015" ] ] }, "page" : "354-360", "title" : "The relationships of human success factor, information technology, and procurement process coordination on operational performance in building construction industry \u2013 A proposed conceptual framework", "type" : "article-journal", "volume" : "31" }, "uris" : [ "http://www.mendeley.com/documents/?uuid=6c8f1854-edb9-4465-beb6-147f522f5b21" ] }, { "id" : "ITEM-3", "itemData" : { "DOI" : "10.1002/smj.337", "author" : [ { "dropping-particle" : "", "family" : "Tippins", "given" : "Michael J", "non-dropping-particle" : "", "parse-names" : false, "suffix" : "" }, { "dropping-particle" : "", "family" : "Sohi", "given" : "Ravipreet S", "non-dropping-particle" : "", "parse-names" : false, "suffix" : "" } ], "container-title" : "Strategic Management Journal", "id" : "ITEM-3", "issued" : { "date-parts" : [ [ "2003" ] ] }, "page" : "745-761", "title" : "IT competency and firm performance: Is organizational learning a missing link?", "type" : "article-journal", "volume" : "24" }, "uris" : [ "http://www.mendeley.com/documents/?uuid=8a9a095f-e6c8-45fc-bd10-441105a57d78" ] } ], "mendeley" : { "formattedCitation" : "(Park &amp; Koh, 2017; Razak et al., 2015; Tippins &amp; Sohi, 2003)", "plainTextFormattedCitation" : "(Park &amp; Koh, 2017; Razak et al., 2015; Tippins &amp; Sohi, 2003)", "previouslyFormattedCitation" : "(Park &amp; Koh, 2017; Razak et al., 2015; Tippins &amp; Sohi, 2003)" }, "properties" : { "noteIndex" : 0 }, "schema" : "https://github.com/citation-style-language/schema/raw/master/csl-citation.json" }</w:instrText>
      </w:r>
      <w:r w:rsidRPr="00035675">
        <w:fldChar w:fldCharType="separate"/>
      </w:r>
      <w:r w:rsidRPr="00035675">
        <w:rPr>
          <w:noProof/>
        </w:rPr>
        <w:t>(Park &amp; Koh, 2017; Razak et al., 2015; Tippins &amp; Sohi, 2003)</w:t>
      </w:r>
      <w:r w:rsidRPr="00035675">
        <w:fldChar w:fldCharType="end"/>
      </w:r>
      <w:r w:rsidRPr="00035675">
        <w:t xml:space="preserve"> is the capability to adapt to any technological changes, to overcome resistance, to proactively adjust to technological changes inclusive of planned changes in data communication and information systems, for the purpose of meeting the company’s requirements related to technological change. Employee performance </w:t>
      </w:r>
      <w:r>
        <w:fldChar w:fldCharType="begin" w:fldLock="1"/>
      </w:r>
      <w:r>
        <w:instrText>ADDIN CSL_CITATION { "citationItems" : [ { "id" : "ITEM-1", "itemData" : { "DOI" : "10.1177/2041386613475370", "ISBN" : "2041386613475", "author" : [ { "dropping-particle" : "", "family" : "Samnani", "given" : "Al-karim", "non-dropping-particle" : "", "parse-names" : false, "suffix" : "" }, { "dropping-particle" : "", "family" : "Singh", "given" : "Parbudyal", "non-dropping-particle" : "", "parse-names" : false, "suffix" : "" }, { "dropping-particle" : "", "family" : "Ezzedeen", "given" : "Souha", "non-dropping-particle" : "", "parse-names" : false, "suffix" : "" } ], "container-title" : "Organizational Psychology Review", "id" : "ITEM-1", "issue" : "4", "issued" : { "date-parts" : [ [ "2013" ] ] }, "page" : "337-359", "title" : "Workplace bullying and employee performance: An attributional model", "type" : "article-journal", "volume" : "3" }, "uris" : [ "http://www.mendeley.com/documents/?uuid=97d7a63c-3c2d-4d08-a8d4-1ae9b6778b75" ] }, { "id" : "ITEM-2", "itemData" : { "DOI" : "10.1108/JABES-06-2018-0026", "author" : [ { "dropping-particle" : "", "family" : "Nguyen", "given" : "Nguyen Phong", "non-dropping-particle" : "", "parse-names" : false, "suffix" : "" }, { "dropping-particle" : "", "family" : "Evangelista", "given" : "Felicitas", "non-dropping-particle" : "", "parse-names" : false, "suffix" : "" }, { "dropping-particle" : "", "family" : "Kieu", "given" : "Tai Anh", "non-dropping-particle" : "", "parse-names" : false, "suffix" : "" } ], "container-title" : "Journal of Asian Business andEconomic Studies", "id" : "ITEM-2", "issue" : "1", "issued" : { "date-parts" : [ [ "2019" ] ] }, "page" : "98-116", "title" : "The contingent roles of perceived budget fairness, budget goal commitment and vertical information sharing in driving work performance", "type" : "article-journal", "volume" : "26" }, "uris" : [ "http://www.mendeley.com/documents/?uuid=06645c85-5243-40ac-93c4-8379f7d1ec8c" ] }, { "id" : "ITEM-3", "itemData" : { "DOI" : "10.3846/btp.2020.9487", "ISSN" : "18224202", "abstract" : "In relation to the problem of SME productivity, it is necessary to investigate whether there is a problem of mismatch between workers and work and groups and corporate cultural values. This study aims to analyze whether the concept of innovative work behavior can mediate the relationship of person-job fit, person-organization fit and person-group fit to job performance. The study was conducted in the metal SME industry in Tegal Regency, with 256 respondents. Data collection tools use questionnaires and interviews. Data analysis is done with a structural equation model. Based on the results of the analysis, there is a positive relationship between variables. This illustrates that the challenges of SMEs in the future are to maintain the best human resources to remain committed to the organization. In maintaining its existence, alignment of individual values with work, organization and groups is the best tool to achieve goals through innovative changes in employee behavior, and also to lay a solid foundation in the recruitment and selection process of new employees that have the potential to increase job performance.", "author" : [ { "dropping-particle" : "", "family" : "Pudjiarti", "given" : "Emiliana Sri", "non-dropping-particle" : "", "parse-names" : false, "suffix" : "" }, { "dropping-particle" : "", "family" : "Hutomo", "given" : "Prihatin Tiyanto Priagung", "non-dropping-particle" : "", "parse-names" : false, "suffix" : "" } ], "container-title" : "Business: Theory and Practice", "id" : "ITEM-3", "issue" : "1", "issued" : { "date-parts" : [ [ "2020" ] ] }, "page" : "39-47", "title" : "Innovative work behaviour: An integrative investigation of person-job fit, person-organization fit, and person-group fit", "type" : "article-journal", "volume" : "21" }, "uris" : [ "http://www.mendeley.com/documents/?uuid=5440ced4-520a-47e3-8f68-34ca7f54beab" ] } ], "mendeley" : { "formattedCitation" : "(N. P. Nguyen et al., 2019; Pudjiarti &amp; Hutomo, 2020; Samnani et al., 2013)", "plainTextFormattedCitation" : "(N. P. Nguyen et al., 2019; Pudjiarti &amp; Hutomo, 2020; Samnani et al., 2013)", "previouslyFormattedCitation" : "(N. P. Nguyen et al., 2019; Pudjiarti &amp; Hutomo, 2020; Samnani et al., 2013)" }, "properties" : { "noteIndex" : 0 }, "schema" : "https://github.com/citation-style-language/schema/raw/master/csl-citation.json" }</w:instrText>
      </w:r>
      <w:r>
        <w:fldChar w:fldCharType="separate"/>
      </w:r>
      <w:r w:rsidRPr="007D18B9">
        <w:rPr>
          <w:noProof/>
        </w:rPr>
        <w:t>(N. P. Nguyen et al., 2019; Pudjiarti &amp; Hutomo, 2020; Samnani et al., 2013)</w:t>
      </w:r>
      <w:r>
        <w:fldChar w:fldCharType="end"/>
      </w:r>
      <w:r>
        <w:t xml:space="preserve"> </w:t>
      </w:r>
      <w:r w:rsidRPr="00035675">
        <w:t>is the comparison between real achievement and the standard speed and punctuality in finishing a task, giving constructive suggestions related to the service to consumers or the main contracts, meeting required targets, and finishing the task according to the set standards.</w:t>
      </w:r>
    </w:p>
    <w:p w14:paraId="312C8F29" w14:textId="77777777" w:rsidR="00917F33" w:rsidRPr="000C00F7" w:rsidRDefault="00917F33" w:rsidP="00917F33">
      <w:pPr>
        <w:pStyle w:val="Heading2"/>
        <w:rPr>
          <w:lang w:val="en-US"/>
        </w:rPr>
      </w:pPr>
      <w:r>
        <w:rPr>
          <w:lang w:val="en-US"/>
        </w:rPr>
        <w:t xml:space="preserve">2.3. </w:t>
      </w:r>
      <w:r w:rsidRPr="000C00F7">
        <w:rPr>
          <w:lang w:val="en-US"/>
        </w:rPr>
        <w:t>The data analysis</w:t>
      </w:r>
    </w:p>
    <w:p w14:paraId="157CEEF7" w14:textId="77777777" w:rsidR="00917F33" w:rsidRDefault="00917F33" w:rsidP="00917F33">
      <w:pPr>
        <w:pStyle w:val="Paragraphbody"/>
      </w:pPr>
      <w:r w:rsidRPr="00055E2B">
        <w:t xml:space="preserve">In this study each variable was measured using a Likert scale where number 1 indicates strongly disagree until number 10 which indicates strongly agree. Then the data were analyzed with Structural Equation Model (SEM) with AMOS version 21. </w:t>
      </w:r>
    </w:p>
    <w:p w14:paraId="74E82FC0" w14:textId="77777777" w:rsidR="00917F33" w:rsidRPr="00055E2B" w:rsidRDefault="00917F33" w:rsidP="00917F33">
      <w:pPr>
        <w:pStyle w:val="Heading1"/>
      </w:pPr>
      <w:r w:rsidRPr="00055E2B">
        <w:t>3. Result</w:t>
      </w:r>
    </w:p>
    <w:p w14:paraId="0A7CD788" w14:textId="77777777" w:rsidR="00917F33" w:rsidRPr="000C00F7" w:rsidRDefault="00917F33" w:rsidP="00917F33">
      <w:pPr>
        <w:pStyle w:val="Heading2"/>
        <w:rPr>
          <w:lang w:val="en-US"/>
        </w:rPr>
      </w:pPr>
      <w:r>
        <w:rPr>
          <w:lang w:val="en-US"/>
        </w:rPr>
        <w:t xml:space="preserve">3.1. </w:t>
      </w:r>
      <w:r w:rsidRPr="000C00F7">
        <w:rPr>
          <w:lang w:val="en-US"/>
        </w:rPr>
        <w:t xml:space="preserve">Reliability and </w:t>
      </w:r>
      <w:r>
        <w:rPr>
          <w:lang w:val="en-US"/>
        </w:rPr>
        <w:t>v</w:t>
      </w:r>
      <w:r w:rsidRPr="000C00F7">
        <w:rPr>
          <w:lang w:val="en-US"/>
        </w:rPr>
        <w:t>alidity</w:t>
      </w:r>
    </w:p>
    <w:p w14:paraId="72653CC4" w14:textId="77777777" w:rsidR="00917F33" w:rsidRPr="00134F8B" w:rsidRDefault="00917F33" w:rsidP="00917F33">
      <w:pPr>
        <w:pStyle w:val="Paragraphbody"/>
      </w:pPr>
      <w:r w:rsidRPr="00EA134B">
        <w:t xml:space="preserve">The result of the construct validity value testing in table </w:t>
      </w:r>
      <w:r>
        <w:t>1</w:t>
      </w:r>
      <w:r w:rsidRPr="00EA134B">
        <w:t xml:space="preserve"> shows that the professional experience portfolio, pro-commitment to learning, adaptabi</w:t>
      </w:r>
      <w:r w:rsidRPr="00733B51">
        <w:t>lity to technological change and employee performance constructs were based on the statistic cut off; the Composite Reliability (CR</w:t>
      </w:r>
      <w:r w:rsidRPr="00656FA7">
        <w:t xml:space="preserve">) are </w:t>
      </w:r>
      <w:r w:rsidRPr="00EA134B">
        <w:t>more than 0.7, the Average Variance Extract (AVE) are more than 0.7, and the loading factors or Discriminant Validity (</w:t>
      </w:r>
      <w:r w:rsidRPr="00733B51">
        <w:t>DV) are more than 0.7.</w:t>
      </w:r>
      <w:r w:rsidRPr="00656FA7">
        <w:rPr>
          <w:color w:val="000000" w:themeColor="text1"/>
          <w:sz w:val="24"/>
          <w:szCs w:val="24"/>
        </w:rPr>
        <w:t xml:space="preserve"> </w:t>
      </w:r>
      <w:r w:rsidRPr="00656FA7">
        <w:t xml:space="preserve">The result of validity test shows that standardized loading estimates is &gt;0.7 which indicate that there is high convergent validity (Hair et al. 2010). The reliability of the instruments is tested </w:t>
      </w:r>
      <w:r w:rsidRPr="00EA134B">
        <w:t xml:space="preserve">the Average Variance Extract (AVE) are more than 0.7, </w:t>
      </w:r>
      <w:r w:rsidRPr="00656FA7">
        <w:t>The detail of the reliability values are as follow; 0.900 for professional experience portfolio, 0.916 for pro-commitment to learning, 0.908 for adaptability to technological change, 0.924 for employee performance. Finally, the KMO (Kaiser Meyer-Ohlin) test is used to test the suitability of the data with and the result is significant because p&lt;0.05.</w:t>
      </w:r>
    </w:p>
    <w:p w14:paraId="30D92C88" w14:textId="77777777" w:rsidR="00917F33" w:rsidRPr="00B24B2F" w:rsidRDefault="00917F33" w:rsidP="00917F33">
      <w:pPr>
        <w:pStyle w:val="Tabletitle"/>
        <w:rPr>
          <w:color w:val="000000"/>
        </w:rPr>
      </w:pPr>
      <w:r>
        <w:t xml:space="preserve">Table </w:t>
      </w:r>
      <w:r>
        <w:rPr>
          <w:lang w:val="en-US"/>
        </w:rPr>
        <w:t>1.</w:t>
      </w:r>
      <w:r w:rsidRPr="00D625FA">
        <w:t xml:space="preserve"> Standardized Loading Factor</w:t>
      </w:r>
      <w:r w:rsidRPr="00D625FA">
        <w:rPr>
          <w:color w:val="000000"/>
        </w:rPr>
        <w:t xml:space="preserve">, </w:t>
      </w:r>
      <w:r w:rsidRPr="00D625FA">
        <w:t xml:space="preserve">Composite </w:t>
      </w:r>
      <w:r w:rsidRPr="00D625FA">
        <w:rPr>
          <w:color w:val="000000"/>
        </w:rPr>
        <w:t xml:space="preserve">Reliability and </w:t>
      </w:r>
      <w:r w:rsidRPr="00D625FA">
        <w:t xml:space="preserve">Average </w:t>
      </w:r>
      <w:r w:rsidRPr="00D625FA">
        <w:rPr>
          <w:color w:val="000000"/>
        </w:rPr>
        <w:t>Variance Extract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394"/>
        <w:gridCol w:w="952"/>
        <w:gridCol w:w="1600"/>
        <w:gridCol w:w="1843"/>
        <w:gridCol w:w="850"/>
        <w:gridCol w:w="996"/>
      </w:tblGrid>
      <w:tr w:rsidR="00917F33" w:rsidRPr="00D625FA" w14:paraId="15F7A1A6" w14:textId="77777777" w:rsidTr="000D3381">
        <w:trPr>
          <w:jc w:val="center"/>
        </w:trPr>
        <w:tc>
          <w:tcPr>
            <w:tcW w:w="436" w:type="dxa"/>
            <w:shd w:val="clear" w:color="auto" w:fill="auto"/>
          </w:tcPr>
          <w:p w14:paraId="168E24AA" w14:textId="77777777" w:rsidR="00917F33" w:rsidRPr="002F2D8D" w:rsidRDefault="00917F33" w:rsidP="000D3381">
            <w:pPr>
              <w:autoSpaceDE w:val="0"/>
              <w:autoSpaceDN w:val="0"/>
              <w:adjustRightInd w:val="0"/>
              <w:jc w:val="center"/>
              <w:rPr>
                <w:bCs/>
                <w:color w:val="000000"/>
                <w:sz w:val="18"/>
                <w:szCs w:val="18"/>
              </w:rPr>
            </w:pPr>
            <w:r w:rsidRPr="002F2D8D">
              <w:rPr>
                <w:bCs/>
                <w:color w:val="000000"/>
                <w:sz w:val="18"/>
                <w:szCs w:val="18"/>
              </w:rPr>
              <w:t>No</w:t>
            </w:r>
          </w:p>
        </w:tc>
        <w:tc>
          <w:tcPr>
            <w:tcW w:w="2394" w:type="dxa"/>
            <w:shd w:val="clear" w:color="auto" w:fill="auto"/>
            <w:vAlign w:val="center"/>
          </w:tcPr>
          <w:p w14:paraId="66215DA1" w14:textId="77777777" w:rsidR="00917F33" w:rsidRPr="002F2D8D" w:rsidRDefault="00917F33" w:rsidP="000D3381">
            <w:pPr>
              <w:autoSpaceDE w:val="0"/>
              <w:autoSpaceDN w:val="0"/>
              <w:adjustRightInd w:val="0"/>
              <w:jc w:val="center"/>
              <w:rPr>
                <w:bCs/>
                <w:color w:val="000000"/>
                <w:sz w:val="18"/>
                <w:szCs w:val="18"/>
              </w:rPr>
            </w:pPr>
            <w:r w:rsidRPr="002F2D8D">
              <w:rPr>
                <w:bCs/>
                <w:color w:val="000000"/>
                <w:sz w:val="18"/>
                <w:szCs w:val="18"/>
              </w:rPr>
              <w:t>Variable</w:t>
            </w:r>
          </w:p>
        </w:tc>
        <w:tc>
          <w:tcPr>
            <w:tcW w:w="952" w:type="dxa"/>
            <w:shd w:val="clear" w:color="auto" w:fill="auto"/>
            <w:vAlign w:val="center"/>
          </w:tcPr>
          <w:p w14:paraId="2911DB75" w14:textId="77777777" w:rsidR="00917F33" w:rsidRPr="002F2D8D" w:rsidRDefault="00917F33" w:rsidP="000D3381">
            <w:pPr>
              <w:autoSpaceDE w:val="0"/>
              <w:autoSpaceDN w:val="0"/>
              <w:adjustRightInd w:val="0"/>
              <w:jc w:val="center"/>
              <w:rPr>
                <w:bCs/>
                <w:color w:val="000000"/>
                <w:sz w:val="18"/>
                <w:szCs w:val="18"/>
              </w:rPr>
            </w:pPr>
            <w:r w:rsidRPr="002F2D8D">
              <w:rPr>
                <w:bCs/>
                <w:color w:val="000000"/>
                <w:sz w:val="18"/>
                <w:szCs w:val="18"/>
              </w:rPr>
              <w:t>Items</w:t>
            </w:r>
          </w:p>
        </w:tc>
        <w:tc>
          <w:tcPr>
            <w:tcW w:w="1600" w:type="dxa"/>
            <w:shd w:val="clear" w:color="auto" w:fill="auto"/>
            <w:vAlign w:val="center"/>
          </w:tcPr>
          <w:p w14:paraId="2D1CD58C" w14:textId="77777777" w:rsidR="00917F33" w:rsidRPr="002F2D8D" w:rsidRDefault="00917F33" w:rsidP="000D3381">
            <w:pPr>
              <w:autoSpaceDE w:val="0"/>
              <w:autoSpaceDN w:val="0"/>
              <w:adjustRightInd w:val="0"/>
              <w:jc w:val="center"/>
              <w:rPr>
                <w:bCs/>
                <w:color w:val="000000"/>
                <w:sz w:val="18"/>
                <w:szCs w:val="18"/>
              </w:rPr>
            </w:pPr>
            <w:r w:rsidRPr="002F2D8D">
              <w:rPr>
                <w:bCs/>
                <w:sz w:val="18"/>
                <w:szCs w:val="18"/>
              </w:rPr>
              <w:t>Standardized Loading Factor</w:t>
            </w:r>
          </w:p>
        </w:tc>
        <w:tc>
          <w:tcPr>
            <w:tcW w:w="1843" w:type="dxa"/>
            <w:shd w:val="clear" w:color="auto" w:fill="auto"/>
            <w:vAlign w:val="center"/>
          </w:tcPr>
          <w:p w14:paraId="46391E9F" w14:textId="77777777" w:rsidR="00917F33" w:rsidRPr="002F2D8D" w:rsidRDefault="00917F33" w:rsidP="000D3381">
            <w:pPr>
              <w:autoSpaceDE w:val="0"/>
              <w:autoSpaceDN w:val="0"/>
              <w:adjustRightInd w:val="0"/>
              <w:jc w:val="center"/>
              <w:rPr>
                <w:bCs/>
                <w:color w:val="000000"/>
                <w:sz w:val="18"/>
                <w:szCs w:val="18"/>
              </w:rPr>
            </w:pPr>
            <w:r w:rsidRPr="002F2D8D">
              <w:rPr>
                <w:bCs/>
                <w:sz w:val="18"/>
                <w:szCs w:val="18"/>
              </w:rPr>
              <w:t xml:space="preserve">Composite </w:t>
            </w:r>
            <w:r w:rsidRPr="002F2D8D">
              <w:rPr>
                <w:bCs/>
                <w:color w:val="000000"/>
                <w:sz w:val="18"/>
                <w:szCs w:val="18"/>
              </w:rPr>
              <w:t>Reliability (CR)</w:t>
            </w:r>
          </w:p>
        </w:tc>
        <w:tc>
          <w:tcPr>
            <w:tcW w:w="850" w:type="dxa"/>
            <w:shd w:val="clear" w:color="auto" w:fill="auto"/>
            <w:vAlign w:val="center"/>
          </w:tcPr>
          <w:p w14:paraId="18588D89" w14:textId="77777777" w:rsidR="00917F33" w:rsidRPr="002F2D8D" w:rsidRDefault="00917F33" w:rsidP="000D3381">
            <w:pPr>
              <w:autoSpaceDE w:val="0"/>
              <w:autoSpaceDN w:val="0"/>
              <w:adjustRightInd w:val="0"/>
              <w:jc w:val="center"/>
              <w:rPr>
                <w:bCs/>
                <w:color w:val="000000"/>
                <w:sz w:val="18"/>
                <w:szCs w:val="18"/>
              </w:rPr>
            </w:pPr>
            <w:r w:rsidRPr="002F2D8D">
              <w:rPr>
                <w:bCs/>
                <w:color w:val="000000"/>
                <w:sz w:val="18"/>
                <w:szCs w:val="18"/>
              </w:rPr>
              <w:t>AVE</w:t>
            </w:r>
          </w:p>
        </w:tc>
        <w:tc>
          <w:tcPr>
            <w:tcW w:w="996" w:type="dxa"/>
          </w:tcPr>
          <w:p w14:paraId="183A7718" w14:textId="77777777" w:rsidR="00917F33" w:rsidRPr="002F2D8D" w:rsidRDefault="00917F33" w:rsidP="000D3381">
            <w:pPr>
              <w:autoSpaceDE w:val="0"/>
              <w:autoSpaceDN w:val="0"/>
              <w:adjustRightInd w:val="0"/>
              <w:jc w:val="center"/>
              <w:rPr>
                <w:bCs/>
                <w:color w:val="000000"/>
                <w:sz w:val="18"/>
                <w:szCs w:val="18"/>
              </w:rPr>
            </w:pPr>
            <w:r>
              <w:rPr>
                <w:bCs/>
                <w:color w:val="000000"/>
                <w:sz w:val="18"/>
                <w:szCs w:val="18"/>
              </w:rPr>
              <w:t>KMO Bartlett’s Test</w:t>
            </w:r>
          </w:p>
        </w:tc>
      </w:tr>
      <w:tr w:rsidR="00917F33" w:rsidRPr="00D625FA" w14:paraId="45CEAEF1" w14:textId="77777777" w:rsidTr="000D3381">
        <w:trPr>
          <w:jc w:val="center"/>
        </w:trPr>
        <w:tc>
          <w:tcPr>
            <w:tcW w:w="436" w:type="dxa"/>
            <w:shd w:val="clear" w:color="auto" w:fill="auto"/>
            <w:vAlign w:val="center"/>
          </w:tcPr>
          <w:p w14:paraId="58010D2F" w14:textId="77777777" w:rsidR="00917F33" w:rsidRPr="002F2D8D" w:rsidRDefault="00917F33" w:rsidP="000D3381">
            <w:pPr>
              <w:autoSpaceDE w:val="0"/>
              <w:autoSpaceDN w:val="0"/>
              <w:adjustRightInd w:val="0"/>
              <w:rPr>
                <w:color w:val="000000"/>
                <w:sz w:val="18"/>
                <w:szCs w:val="18"/>
              </w:rPr>
            </w:pPr>
            <w:r w:rsidRPr="002F2D8D">
              <w:rPr>
                <w:color w:val="000000"/>
                <w:sz w:val="18"/>
                <w:szCs w:val="18"/>
              </w:rPr>
              <w:t>1</w:t>
            </w:r>
          </w:p>
        </w:tc>
        <w:tc>
          <w:tcPr>
            <w:tcW w:w="2394" w:type="dxa"/>
            <w:shd w:val="clear" w:color="auto" w:fill="auto"/>
          </w:tcPr>
          <w:p w14:paraId="3B63A089" w14:textId="77777777" w:rsidR="00917F33" w:rsidRPr="002F2D8D" w:rsidRDefault="00917F33" w:rsidP="000D3381">
            <w:pPr>
              <w:autoSpaceDE w:val="0"/>
              <w:autoSpaceDN w:val="0"/>
              <w:adjustRightInd w:val="0"/>
              <w:rPr>
                <w:color w:val="000000"/>
                <w:sz w:val="18"/>
                <w:szCs w:val="18"/>
              </w:rPr>
            </w:pPr>
            <w:r w:rsidRPr="002F2D8D">
              <w:rPr>
                <w:bCs/>
                <w:sz w:val="18"/>
                <w:szCs w:val="18"/>
              </w:rPr>
              <w:t>Professional experience portfolio</w:t>
            </w:r>
          </w:p>
        </w:tc>
        <w:tc>
          <w:tcPr>
            <w:tcW w:w="952" w:type="dxa"/>
            <w:shd w:val="clear" w:color="auto" w:fill="auto"/>
            <w:vAlign w:val="center"/>
          </w:tcPr>
          <w:p w14:paraId="78128726"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PEP1</w:t>
            </w:r>
          </w:p>
          <w:p w14:paraId="79D7C5C5"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PEP2</w:t>
            </w:r>
          </w:p>
          <w:p w14:paraId="65CB1844"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PEP3</w:t>
            </w:r>
          </w:p>
        </w:tc>
        <w:tc>
          <w:tcPr>
            <w:tcW w:w="1600" w:type="dxa"/>
            <w:shd w:val="clear" w:color="auto" w:fill="auto"/>
            <w:vAlign w:val="center"/>
          </w:tcPr>
          <w:p w14:paraId="3B6ED2BA"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0.89</w:t>
            </w:r>
            <w:r w:rsidRPr="002F2D8D">
              <w:rPr>
                <w:color w:val="000000"/>
                <w:sz w:val="18"/>
                <w:szCs w:val="18"/>
              </w:rPr>
              <w:t>0</w:t>
            </w:r>
          </w:p>
          <w:p w14:paraId="2597043C"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0.82</w:t>
            </w:r>
            <w:r w:rsidRPr="002F2D8D">
              <w:rPr>
                <w:color w:val="000000"/>
                <w:sz w:val="18"/>
                <w:szCs w:val="18"/>
              </w:rPr>
              <w:t>0</w:t>
            </w:r>
          </w:p>
          <w:p w14:paraId="2D8A4365"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0.89</w:t>
            </w:r>
            <w:r w:rsidRPr="002F2D8D">
              <w:rPr>
                <w:color w:val="000000"/>
                <w:sz w:val="18"/>
                <w:szCs w:val="18"/>
              </w:rPr>
              <w:t>0</w:t>
            </w:r>
          </w:p>
        </w:tc>
        <w:tc>
          <w:tcPr>
            <w:tcW w:w="1843" w:type="dxa"/>
            <w:shd w:val="clear" w:color="auto" w:fill="auto"/>
            <w:vAlign w:val="center"/>
          </w:tcPr>
          <w:p w14:paraId="2C484C1D"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0,900</w:t>
            </w:r>
          </w:p>
        </w:tc>
        <w:tc>
          <w:tcPr>
            <w:tcW w:w="850" w:type="dxa"/>
            <w:shd w:val="clear" w:color="auto" w:fill="auto"/>
            <w:vAlign w:val="center"/>
          </w:tcPr>
          <w:p w14:paraId="6C9CC6E1"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0,752</w:t>
            </w:r>
          </w:p>
        </w:tc>
        <w:tc>
          <w:tcPr>
            <w:tcW w:w="996" w:type="dxa"/>
          </w:tcPr>
          <w:p w14:paraId="5586977A" w14:textId="77777777" w:rsidR="00917F33" w:rsidRDefault="00917F33" w:rsidP="000D3381">
            <w:pPr>
              <w:autoSpaceDE w:val="0"/>
              <w:autoSpaceDN w:val="0"/>
              <w:adjustRightInd w:val="0"/>
              <w:jc w:val="center"/>
              <w:rPr>
                <w:color w:val="000000"/>
                <w:sz w:val="18"/>
                <w:szCs w:val="18"/>
              </w:rPr>
            </w:pPr>
          </w:p>
          <w:p w14:paraId="276E1956" w14:textId="77777777" w:rsidR="00917F33" w:rsidRDefault="00917F33" w:rsidP="000D3381">
            <w:pPr>
              <w:autoSpaceDE w:val="0"/>
              <w:autoSpaceDN w:val="0"/>
              <w:adjustRightInd w:val="0"/>
              <w:jc w:val="center"/>
              <w:rPr>
                <w:color w:val="000000"/>
                <w:sz w:val="18"/>
                <w:szCs w:val="18"/>
              </w:rPr>
            </w:pPr>
            <w:r>
              <w:rPr>
                <w:color w:val="000000"/>
                <w:sz w:val="18"/>
                <w:szCs w:val="18"/>
              </w:rPr>
              <w:t>443.531**</w:t>
            </w:r>
          </w:p>
        </w:tc>
      </w:tr>
      <w:tr w:rsidR="00917F33" w:rsidRPr="00D625FA" w14:paraId="6097D9A8" w14:textId="77777777" w:rsidTr="000D3381">
        <w:trPr>
          <w:jc w:val="center"/>
        </w:trPr>
        <w:tc>
          <w:tcPr>
            <w:tcW w:w="436" w:type="dxa"/>
            <w:shd w:val="clear" w:color="auto" w:fill="auto"/>
            <w:vAlign w:val="center"/>
          </w:tcPr>
          <w:p w14:paraId="251A1DF5" w14:textId="77777777" w:rsidR="00917F33" w:rsidRPr="002F2D8D" w:rsidRDefault="00917F33" w:rsidP="000D3381">
            <w:pPr>
              <w:autoSpaceDE w:val="0"/>
              <w:autoSpaceDN w:val="0"/>
              <w:adjustRightInd w:val="0"/>
              <w:rPr>
                <w:color w:val="000000"/>
                <w:sz w:val="18"/>
                <w:szCs w:val="18"/>
              </w:rPr>
            </w:pPr>
            <w:r w:rsidRPr="002F2D8D">
              <w:rPr>
                <w:color w:val="000000"/>
                <w:sz w:val="18"/>
                <w:szCs w:val="18"/>
              </w:rPr>
              <w:t>2</w:t>
            </w:r>
          </w:p>
        </w:tc>
        <w:tc>
          <w:tcPr>
            <w:tcW w:w="2394" w:type="dxa"/>
            <w:shd w:val="clear" w:color="auto" w:fill="auto"/>
          </w:tcPr>
          <w:p w14:paraId="75FC01A3" w14:textId="77777777" w:rsidR="00917F33" w:rsidRPr="002F2D8D" w:rsidRDefault="00917F33" w:rsidP="000D3381">
            <w:pPr>
              <w:autoSpaceDE w:val="0"/>
              <w:autoSpaceDN w:val="0"/>
              <w:adjustRightInd w:val="0"/>
              <w:rPr>
                <w:color w:val="000000"/>
                <w:sz w:val="18"/>
                <w:szCs w:val="18"/>
              </w:rPr>
            </w:pPr>
            <w:r w:rsidRPr="002F2D8D">
              <w:rPr>
                <w:rStyle w:val="hps"/>
                <w:bCs/>
                <w:sz w:val="18"/>
                <w:szCs w:val="18"/>
              </w:rPr>
              <w:t>Pro-commitment to learning</w:t>
            </w:r>
          </w:p>
        </w:tc>
        <w:tc>
          <w:tcPr>
            <w:tcW w:w="952" w:type="dxa"/>
            <w:shd w:val="clear" w:color="auto" w:fill="auto"/>
            <w:vAlign w:val="center"/>
          </w:tcPr>
          <w:p w14:paraId="5FD7CEE9"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PCL1</w:t>
            </w:r>
          </w:p>
          <w:p w14:paraId="7529B4DB"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PCL2</w:t>
            </w:r>
          </w:p>
          <w:p w14:paraId="5C0C2B32"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PCL3</w:t>
            </w:r>
          </w:p>
          <w:p w14:paraId="59E1FDE5"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PCL4</w:t>
            </w:r>
          </w:p>
        </w:tc>
        <w:tc>
          <w:tcPr>
            <w:tcW w:w="1600" w:type="dxa"/>
            <w:shd w:val="clear" w:color="auto" w:fill="auto"/>
            <w:vAlign w:val="center"/>
          </w:tcPr>
          <w:p w14:paraId="4DD62723"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0.890</w:t>
            </w:r>
          </w:p>
          <w:p w14:paraId="2BA8479A"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0.890</w:t>
            </w:r>
          </w:p>
          <w:p w14:paraId="71CFA945"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0.810</w:t>
            </w:r>
          </w:p>
          <w:p w14:paraId="469DC376"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0.830</w:t>
            </w:r>
          </w:p>
        </w:tc>
        <w:tc>
          <w:tcPr>
            <w:tcW w:w="1843" w:type="dxa"/>
            <w:shd w:val="clear" w:color="auto" w:fill="auto"/>
            <w:vAlign w:val="center"/>
          </w:tcPr>
          <w:p w14:paraId="2D606866"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0.916</w:t>
            </w:r>
          </w:p>
        </w:tc>
        <w:tc>
          <w:tcPr>
            <w:tcW w:w="850" w:type="dxa"/>
            <w:shd w:val="clear" w:color="auto" w:fill="auto"/>
            <w:vAlign w:val="center"/>
          </w:tcPr>
          <w:p w14:paraId="6691E56C"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0.732</w:t>
            </w:r>
          </w:p>
        </w:tc>
        <w:tc>
          <w:tcPr>
            <w:tcW w:w="996" w:type="dxa"/>
            <w:vAlign w:val="center"/>
          </w:tcPr>
          <w:p w14:paraId="061B4E4F" w14:textId="77777777" w:rsidR="00917F33" w:rsidRDefault="00917F33" w:rsidP="000D3381">
            <w:pPr>
              <w:autoSpaceDE w:val="0"/>
              <w:autoSpaceDN w:val="0"/>
              <w:adjustRightInd w:val="0"/>
              <w:jc w:val="center"/>
              <w:rPr>
                <w:color w:val="000000"/>
                <w:sz w:val="18"/>
                <w:szCs w:val="18"/>
              </w:rPr>
            </w:pPr>
            <w:r>
              <w:rPr>
                <w:color w:val="000000"/>
                <w:sz w:val="18"/>
                <w:szCs w:val="18"/>
              </w:rPr>
              <w:t>293.606**</w:t>
            </w:r>
          </w:p>
        </w:tc>
      </w:tr>
      <w:tr w:rsidR="00917F33" w:rsidRPr="00D625FA" w14:paraId="09502246" w14:textId="77777777" w:rsidTr="000D3381">
        <w:trPr>
          <w:jc w:val="center"/>
        </w:trPr>
        <w:tc>
          <w:tcPr>
            <w:tcW w:w="436" w:type="dxa"/>
            <w:shd w:val="clear" w:color="auto" w:fill="auto"/>
            <w:vAlign w:val="center"/>
          </w:tcPr>
          <w:p w14:paraId="3C85DB45" w14:textId="77777777" w:rsidR="00917F33" w:rsidRPr="002F2D8D" w:rsidRDefault="00917F33" w:rsidP="000D3381">
            <w:pPr>
              <w:autoSpaceDE w:val="0"/>
              <w:autoSpaceDN w:val="0"/>
              <w:adjustRightInd w:val="0"/>
              <w:rPr>
                <w:color w:val="000000"/>
                <w:sz w:val="18"/>
                <w:szCs w:val="18"/>
              </w:rPr>
            </w:pPr>
            <w:r w:rsidRPr="002F2D8D">
              <w:rPr>
                <w:color w:val="000000"/>
                <w:sz w:val="18"/>
                <w:szCs w:val="18"/>
              </w:rPr>
              <w:t>3</w:t>
            </w:r>
          </w:p>
        </w:tc>
        <w:tc>
          <w:tcPr>
            <w:tcW w:w="2394" w:type="dxa"/>
            <w:shd w:val="clear" w:color="auto" w:fill="auto"/>
          </w:tcPr>
          <w:p w14:paraId="7639CCB7" w14:textId="77777777" w:rsidR="00917F33" w:rsidRPr="002F2D8D" w:rsidRDefault="00917F33" w:rsidP="000D3381">
            <w:pPr>
              <w:autoSpaceDE w:val="0"/>
              <w:autoSpaceDN w:val="0"/>
              <w:adjustRightInd w:val="0"/>
              <w:rPr>
                <w:color w:val="000000"/>
                <w:sz w:val="18"/>
                <w:szCs w:val="18"/>
              </w:rPr>
            </w:pPr>
            <w:r w:rsidRPr="002F2D8D">
              <w:rPr>
                <w:bCs/>
                <w:sz w:val="18"/>
                <w:szCs w:val="18"/>
              </w:rPr>
              <w:t>Adaptability to technological change</w:t>
            </w:r>
          </w:p>
        </w:tc>
        <w:tc>
          <w:tcPr>
            <w:tcW w:w="952" w:type="dxa"/>
            <w:shd w:val="clear" w:color="auto" w:fill="auto"/>
            <w:vAlign w:val="center"/>
          </w:tcPr>
          <w:p w14:paraId="226F82D7"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ATC1</w:t>
            </w:r>
          </w:p>
          <w:p w14:paraId="2AFB3D69"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ATC2</w:t>
            </w:r>
          </w:p>
          <w:p w14:paraId="036FADAE"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ATC3</w:t>
            </w:r>
          </w:p>
          <w:p w14:paraId="6E669917"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ATC4</w:t>
            </w:r>
          </w:p>
        </w:tc>
        <w:tc>
          <w:tcPr>
            <w:tcW w:w="1600" w:type="dxa"/>
            <w:shd w:val="clear" w:color="auto" w:fill="auto"/>
            <w:vAlign w:val="center"/>
          </w:tcPr>
          <w:p w14:paraId="710BFFFD"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0.78</w:t>
            </w:r>
            <w:r w:rsidRPr="002F2D8D">
              <w:rPr>
                <w:color w:val="000000"/>
                <w:sz w:val="18"/>
                <w:szCs w:val="18"/>
              </w:rPr>
              <w:t>0</w:t>
            </w:r>
          </w:p>
          <w:p w14:paraId="746877D4"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0.88</w:t>
            </w:r>
            <w:r w:rsidRPr="002F2D8D">
              <w:rPr>
                <w:color w:val="000000"/>
                <w:sz w:val="18"/>
                <w:szCs w:val="18"/>
              </w:rPr>
              <w:t>0</w:t>
            </w:r>
          </w:p>
          <w:p w14:paraId="66CA0802"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0.82</w:t>
            </w:r>
            <w:r w:rsidRPr="002F2D8D">
              <w:rPr>
                <w:color w:val="000000"/>
                <w:sz w:val="18"/>
                <w:szCs w:val="18"/>
              </w:rPr>
              <w:t>0</w:t>
            </w:r>
          </w:p>
          <w:p w14:paraId="6FA228A3"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0.89</w:t>
            </w:r>
            <w:r w:rsidRPr="002F2D8D">
              <w:rPr>
                <w:color w:val="000000"/>
                <w:sz w:val="18"/>
                <w:szCs w:val="18"/>
              </w:rPr>
              <w:t>0</w:t>
            </w:r>
          </w:p>
        </w:tc>
        <w:tc>
          <w:tcPr>
            <w:tcW w:w="1843" w:type="dxa"/>
            <w:shd w:val="clear" w:color="auto" w:fill="auto"/>
            <w:vAlign w:val="center"/>
          </w:tcPr>
          <w:p w14:paraId="3AFDF558"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0.908</w:t>
            </w:r>
          </w:p>
        </w:tc>
        <w:tc>
          <w:tcPr>
            <w:tcW w:w="850" w:type="dxa"/>
            <w:shd w:val="clear" w:color="auto" w:fill="auto"/>
            <w:vAlign w:val="center"/>
          </w:tcPr>
          <w:p w14:paraId="3BB9FBD3"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0.712</w:t>
            </w:r>
          </w:p>
        </w:tc>
        <w:tc>
          <w:tcPr>
            <w:tcW w:w="996" w:type="dxa"/>
            <w:vAlign w:val="center"/>
          </w:tcPr>
          <w:p w14:paraId="68FE92BC" w14:textId="77777777" w:rsidR="00917F33" w:rsidRDefault="00917F33" w:rsidP="000D3381">
            <w:pPr>
              <w:autoSpaceDE w:val="0"/>
              <w:autoSpaceDN w:val="0"/>
              <w:adjustRightInd w:val="0"/>
              <w:jc w:val="center"/>
              <w:rPr>
                <w:color w:val="000000"/>
                <w:sz w:val="18"/>
                <w:szCs w:val="18"/>
              </w:rPr>
            </w:pPr>
            <w:r>
              <w:rPr>
                <w:color w:val="000000"/>
                <w:sz w:val="18"/>
                <w:szCs w:val="18"/>
              </w:rPr>
              <w:t>447.042**</w:t>
            </w:r>
          </w:p>
        </w:tc>
      </w:tr>
      <w:tr w:rsidR="00917F33" w:rsidRPr="00D625FA" w14:paraId="5FC1A752" w14:textId="77777777" w:rsidTr="000D3381">
        <w:trPr>
          <w:jc w:val="center"/>
        </w:trPr>
        <w:tc>
          <w:tcPr>
            <w:tcW w:w="436" w:type="dxa"/>
            <w:shd w:val="clear" w:color="auto" w:fill="auto"/>
            <w:vAlign w:val="center"/>
          </w:tcPr>
          <w:p w14:paraId="623F8117" w14:textId="77777777" w:rsidR="00917F33" w:rsidRPr="002F2D8D" w:rsidRDefault="00917F33" w:rsidP="000D3381">
            <w:pPr>
              <w:autoSpaceDE w:val="0"/>
              <w:autoSpaceDN w:val="0"/>
              <w:adjustRightInd w:val="0"/>
              <w:rPr>
                <w:color w:val="000000"/>
                <w:sz w:val="18"/>
                <w:szCs w:val="18"/>
              </w:rPr>
            </w:pPr>
            <w:r w:rsidRPr="002F2D8D">
              <w:rPr>
                <w:color w:val="000000"/>
                <w:sz w:val="18"/>
                <w:szCs w:val="18"/>
              </w:rPr>
              <w:t>4</w:t>
            </w:r>
          </w:p>
        </w:tc>
        <w:tc>
          <w:tcPr>
            <w:tcW w:w="2394" w:type="dxa"/>
            <w:shd w:val="clear" w:color="auto" w:fill="auto"/>
          </w:tcPr>
          <w:p w14:paraId="394828E5" w14:textId="77777777" w:rsidR="00917F33" w:rsidRPr="002F2D8D" w:rsidRDefault="00917F33" w:rsidP="000D3381">
            <w:pPr>
              <w:autoSpaceDE w:val="0"/>
              <w:autoSpaceDN w:val="0"/>
              <w:adjustRightInd w:val="0"/>
              <w:rPr>
                <w:color w:val="000000"/>
                <w:sz w:val="18"/>
                <w:szCs w:val="18"/>
              </w:rPr>
            </w:pPr>
            <w:r w:rsidRPr="002F2D8D">
              <w:rPr>
                <w:sz w:val="18"/>
                <w:szCs w:val="18"/>
              </w:rPr>
              <w:t>Employee performance</w:t>
            </w:r>
          </w:p>
        </w:tc>
        <w:tc>
          <w:tcPr>
            <w:tcW w:w="952" w:type="dxa"/>
            <w:shd w:val="clear" w:color="auto" w:fill="auto"/>
            <w:vAlign w:val="center"/>
          </w:tcPr>
          <w:p w14:paraId="2055B55B"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EP1</w:t>
            </w:r>
          </w:p>
          <w:p w14:paraId="131B2792"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EP2</w:t>
            </w:r>
          </w:p>
          <w:p w14:paraId="13C9D8C5"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EP3</w:t>
            </w:r>
          </w:p>
          <w:p w14:paraId="418DB10B"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EP4</w:t>
            </w:r>
          </w:p>
        </w:tc>
        <w:tc>
          <w:tcPr>
            <w:tcW w:w="1600" w:type="dxa"/>
            <w:shd w:val="clear" w:color="auto" w:fill="auto"/>
            <w:vAlign w:val="center"/>
          </w:tcPr>
          <w:p w14:paraId="73CDC4AA"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0.870</w:t>
            </w:r>
          </w:p>
          <w:p w14:paraId="37FEAD83"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0.880</w:t>
            </w:r>
          </w:p>
          <w:p w14:paraId="405348E4"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0.860</w:t>
            </w:r>
          </w:p>
          <w:p w14:paraId="5620258C"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0.860</w:t>
            </w:r>
          </w:p>
        </w:tc>
        <w:tc>
          <w:tcPr>
            <w:tcW w:w="1843" w:type="dxa"/>
            <w:shd w:val="clear" w:color="auto" w:fill="auto"/>
            <w:vAlign w:val="center"/>
          </w:tcPr>
          <w:p w14:paraId="2A4D5A15"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0.924</w:t>
            </w:r>
          </w:p>
        </w:tc>
        <w:tc>
          <w:tcPr>
            <w:tcW w:w="850" w:type="dxa"/>
            <w:shd w:val="clear" w:color="auto" w:fill="auto"/>
            <w:vAlign w:val="center"/>
          </w:tcPr>
          <w:p w14:paraId="74859285" w14:textId="77777777" w:rsidR="00917F33" w:rsidRPr="002F2D8D" w:rsidRDefault="00917F33" w:rsidP="000D3381">
            <w:pPr>
              <w:autoSpaceDE w:val="0"/>
              <w:autoSpaceDN w:val="0"/>
              <w:adjustRightInd w:val="0"/>
              <w:jc w:val="center"/>
              <w:rPr>
                <w:color w:val="000000"/>
                <w:sz w:val="18"/>
                <w:szCs w:val="18"/>
              </w:rPr>
            </w:pPr>
            <w:r w:rsidRPr="002F2D8D">
              <w:rPr>
                <w:color w:val="000000"/>
                <w:sz w:val="18"/>
                <w:szCs w:val="18"/>
              </w:rPr>
              <w:t>0.75</w:t>
            </w:r>
            <w:r>
              <w:rPr>
                <w:color w:val="000000"/>
                <w:sz w:val="18"/>
                <w:szCs w:val="18"/>
              </w:rPr>
              <w:t>3</w:t>
            </w:r>
          </w:p>
        </w:tc>
        <w:tc>
          <w:tcPr>
            <w:tcW w:w="996" w:type="dxa"/>
            <w:vAlign w:val="center"/>
          </w:tcPr>
          <w:p w14:paraId="4352EFAD" w14:textId="77777777" w:rsidR="00917F33" w:rsidRPr="002F2D8D" w:rsidRDefault="00917F33" w:rsidP="000D3381">
            <w:pPr>
              <w:autoSpaceDE w:val="0"/>
              <w:autoSpaceDN w:val="0"/>
              <w:adjustRightInd w:val="0"/>
              <w:jc w:val="center"/>
              <w:rPr>
                <w:color w:val="000000"/>
                <w:sz w:val="18"/>
                <w:szCs w:val="18"/>
              </w:rPr>
            </w:pPr>
            <w:r>
              <w:rPr>
                <w:color w:val="000000"/>
                <w:sz w:val="18"/>
                <w:szCs w:val="18"/>
              </w:rPr>
              <w:t>465.680**</w:t>
            </w:r>
          </w:p>
        </w:tc>
      </w:tr>
    </w:tbl>
    <w:p w14:paraId="233CEF13" w14:textId="77777777" w:rsidR="00917F33" w:rsidRDefault="00917F33" w:rsidP="00917F33">
      <w:pPr>
        <w:pStyle w:val="Notes"/>
        <w:ind w:left="284"/>
      </w:pPr>
      <w:r>
        <w:t>Note: *p&lt;.05, **p&lt; .01</w:t>
      </w:r>
    </w:p>
    <w:p w14:paraId="73AC7029" w14:textId="77777777" w:rsidR="00917F33" w:rsidRDefault="00917F33" w:rsidP="00917F33">
      <w:pPr>
        <w:pStyle w:val="Heading2"/>
      </w:pPr>
      <w:r>
        <w:t xml:space="preserve">3.2. Descriptive statistic, </w:t>
      </w:r>
      <w:r w:rsidRPr="00733F4A">
        <w:t>correlations</w:t>
      </w:r>
      <w:r>
        <w:t xml:space="preserve"> and characteristic of respondents</w:t>
      </w:r>
    </w:p>
    <w:p w14:paraId="3957C0F1" w14:textId="77777777" w:rsidR="00917F33" w:rsidRDefault="00917F33" w:rsidP="00917F33">
      <w:pPr>
        <w:pStyle w:val="Paragraphbody"/>
      </w:pPr>
    </w:p>
    <w:p w14:paraId="7691B4B0" w14:textId="77777777" w:rsidR="00917F33" w:rsidRDefault="00917F33" w:rsidP="00917F33">
      <w:pPr>
        <w:pStyle w:val="Paragraphbody"/>
      </w:pPr>
      <w:r w:rsidRPr="00CA3FD6">
        <w:t>The results of the statistical test on mean, standard deviation, and matrix correlation between professional experience portfolio, pro-commitment to learning, adaptation capability to technological change, and employee performance c</w:t>
      </w:r>
      <w:r>
        <w:t>onstructs can be seen in Table 2</w:t>
      </w:r>
      <w:r w:rsidRPr="00CA3FD6">
        <w:t xml:space="preserve">. </w:t>
      </w:r>
    </w:p>
    <w:p w14:paraId="4ECDCDA8" w14:textId="77777777" w:rsidR="00917F33" w:rsidRPr="00B24B2F" w:rsidRDefault="00917F33" w:rsidP="00917F33">
      <w:pPr>
        <w:pStyle w:val="Tabletitle"/>
      </w:pPr>
      <w:r>
        <w:t>Table 2</w:t>
      </w:r>
      <w:r w:rsidRPr="00D625FA">
        <w:t xml:space="preserve">. </w:t>
      </w:r>
      <w:r>
        <w:t>Descriptive statistic</w:t>
      </w:r>
      <w:r w:rsidRPr="00D625FA">
        <w:t xml:space="preserve"> and correlations</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1134"/>
        <w:gridCol w:w="1134"/>
        <w:gridCol w:w="850"/>
        <w:gridCol w:w="851"/>
        <w:gridCol w:w="854"/>
      </w:tblGrid>
      <w:tr w:rsidR="00917F33" w:rsidRPr="00D625FA" w14:paraId="5C5CB63A" w14:textId="77777777" w:rsidTr="000D3381">
        <w:trPr>
          <w:jc w:val="center"/>
        </w:trPr>
        <w:tc>
          <w:tcPr>
            <w:tcW w:w="3256" w:type="dxa"/>
            <w:tcBorders>
              <w:bottom w:val="single" w:sz="4" w:space="0" w:color="auto"/>
            </w:tcBorders>
            <w:shd w:val="clear" w:color="auto" w:fill="auto"/>
            <w:vAlign w:val="center"/>
          </w:tcPr>
          <w:p w14:paraId="48577A7A" w14:textId="77777777" w:rsidR="00917F33" w:rsidRPr="00627E38" w:rsidRDefault="00917F33" w:rsidP="000D3381">
            <w:pPr>
              <w:jc w:val="right"/>
              <w:rPr>
                <w:sz w:val="18"/>
                <w:szCs w:val="18"/>
              </w:rPr>
            </w:pPr>
          </w:p>
        </w:tc>
        <w:tc>
          <w:tcPr>
            <w:tcW w:w="992" w:type="dxa"/>
            <w:tcBorders>
              <w:bottom w:val="single" w:sz="4" w:space="0" w:color="auto"/>
              <w:right w:val="single" w:sz="4" w:space="0" w:color="auto"/>
            </w:tcBorders>
            <w:shd w:val="clear" w:color="auto" w:fill="auto"/>
            <w:vAlign w:val="center"/>
          </w:tcPr>
          <w:p w14:paraId="5F0268FE" w14:textId="77777777" w:rsidR="00917F33" w:rsidRPr="00656FA7" w:rsidRDefault="00917F33" w:rsidP="000D3381">
            <w:pPr>
              <w:jc w:val="center"/>
              <w:rPr>
                <w:sz w:val="18"/>
                <w:szCs w:val="18"/>
              </w:rPr>
            </w:pPr>
            <w:r w:rsidRPr="00656FA7">
              <w:rPr>
                <w:sz w:val="18"/>
                <w:szCs w:val="18"/>
              </w:rPr>
              <w:t>Mean</w:t>
            </w:r>
          </w:p>
        </w:tc>
        <w:tc>
          <w:tcPr>
            <w:tcW w:w="1134" w:type="dxa"/>
            <w:tcBorders>
              <w:left w:val="single" w:sz="4" w:space="0" w:color="auto"/>
              <w:bottom w:val="single" w:sz="4" w:space="0" w:color="auto"/>
              <w:right w:val="single" w:sz="4" w:space="0" w:color="auto"/>
            </w:tcBorders>
            <w:shd w:val="clear" w:color="auto" w:fill="auto"/>
            <w:vAlign w:val="center"/>
          </w:tcPr>
          <w:p w14:paraId="7A82CDD5" w14:textId="77777777" w:rsidR="00917F33" w:rsidRPr="00656FA7" w:rsidRDefault="00917F33" w:rsidP="000D3381">
            <w:pPr>
              <w:jc w:val="center"/>
              <w:rPr>
                <w:sz w:val="18"/>
                <w:szCs w:val="18"/>
              </w:rPr>
            </w:pPr>
            <w:r w:rsidRPr="00656FA7">
              <w:rPr>
                <w:sz w:val="18"/>
                <w:szCs w:val="18"/>
              </w:rPr>
              <w:t>Standard</w:t>
            </w:r>
          </w:p>
          <w:p w14:paraId="071F645C" w14:textId="77777777" w:rsidR="00917F33" w:rsidRPr="00656FA7" w:rsidRDefault="00917F33" w:rsidP="000D3381">
            <w:pPr>
              <w:jc w:val="center"/>
              <w:rPr>
                <w:sz w:val="18"/>
                <w:szCs w:val="18"/>
              </w:rPr>
            </w:pPr>
            <w:r w:rsidRPr="00656FA7">
              <w:rPr>
                <w:sz w:val="18"/>
                <w:szCs w:val="18"/>
              </w:rPr>
              <w:t>Deviation</w:t>
            </w:r>
          </w:p>
        </w:tc>
        <w:tc>
          <w:tcPr>
            <w:tcW w:w="1134" w:type="dxa"/>
            <w:tcBorders>
              <w:left w:val="single" w:sz="4" w:space="0" w:color="auto"/>
              <w:bottom w:val="single" w:sz="4" w:space="0" w:color="auto"/>
              <w:right w:val="single" w:sz="4" w:space="0" w:color="auto"/>
            </w:tcBorders>
            <w:shd w:val="clear" w:color="auto" w:fill="auto"/>
            <w:vAlign w:val="center"/>
          </w:tcPr>
          <w:p w14:paraId="5A59DA30" w14:textId="77777777" w:rsidR="00917F33" w:rsidRPr="00656FA7" w:rsidRDefault="00917F33" w:rsidP="000D3381">
            <w:pPr>
              <w:jc w:val="center"/>
              <w:rPr>
                <w:sz w:val="18"/>
                <w:szCs w:val="18"/>
              </w:rPr>
            </w:pPr>
            <w:r w:rsidRPr="00656FA7">
              <w:rPr>
                <w:sz w:val="18"/>
                <w:szCs w:val="18"/>
              </w:rPr>
              <w:t>1</w:t>
            </w:r>
          </w:p>
        </w:tc>
        <w:tc>
          <w:tcPr>
            <w:tcW w:w="850" w:type="dxa"/>
            <w:tcBorders>
              <w:left w:val="single" w:sz="4" w:space="0" w:color="auto"/>
              <w:bottom w:val="single" w:sz="4" w:space="0" w:color="auto"/>
              <w:right w:val="single" w:sz="4" w:space="0" w:color="auto"/>
            </w:tcBorders>
            <w:shd w:val="clear" w:color="auto" w:fill="auto"/>
            <w:vAlign w:val="center"/>
          </w:tcPr>
          <w:p w14:paraId="44144931" w14:textId="77777777" w:rsidR="00917F33" w:rsidRPr="00656FA7" w:rsidRDefault="00917F33" w:rsidP="000D3381">
            <w:pPr>
              <w:jc w:val="center"/>
              <w:rPr>
                <w:sz w:val="18"/>
                <w:szCs w:val="18"/>
              </w:rPr>
            </w:pPr>
            <w:r w:rsidRPr="00656FA7">
              <w:rPr>
                <w:sz w:val="18"/>
                <w:szCs w:val="18"/>
              </w:rPr>
              <w:t>2</w:t>
            </w:r>
          </w:p>
        </w:tc>
        <w:tc>
          <w:tcPr>
            <w:tcW w:w="851" w:type="dxa"/>
            <w:tcBorders>
              <w:left w:val="single" w:sz="4" w:space="0" w:color="auto"/>
              <w:bottom w:val="single" w:sz="4" w:space="0" w:color="auto"/>
              <w:right w:val="single" w:sz="4" w:space="0" w:color="auto"/>
            </w:tcBorders>
            <w:shd w:val="clear" w:color="auto" w:fill="auto"/>
            <w:vAlign w:val="center"/>
          </w:tcPr>
          <w:p w14:paraId="5948A9E7" w14:textId="77777777" w:rsidR="00917F33" w:rsidRPr="00656FA7" w:rsidRDefault="00917F33" w:rsidP="000D3381">
            <w:pPr>
              <w:jc w:val="center"/>
              <w:rPr>
                <w:sz w:val="18"/>
                <w:szCs w:val="18"/>
              </w:rPr>
            </w:pPr>
            <w:r w:rsidRPr="00656FA7">
              <w:rPr>
                <w:sz w:val="18"/>
                <w:szCs w:val="18"/>
              </w:rPr>
              <w:t>3</w:t>
            </w:r>
          </w:p>
        </w:tc>
        <w:tc>
          <w:tcPr>
            <w:tcW w:w="854" w:type="dxa"/>
            <w:tcBorders>
              <w:left w:val="single" w:sz="4" w:space="0" w:color="auto"/>
              <w:bottom w:val="single" w:sz="4" w:space="0" w:color="auto"/>
            </w:tcBorders>
            <w:shd w:val="clear" w:color="auto" w:fill="auto"/>
            <w:vAlign w:val="center"/>
          </w:tcPr>
          <w:p w14:paraId="53AAD93C" w14:textId="77777777" w:rsidR="00917F33" w:rsidRPr="00656FA7" w:rsidRDefault="00917F33" w:rsidP="000D3381">
            <w:pPr>
              <w:jc w:val="center"/>
              <w:rPr>
                <w:sz w:val="18"/>
                <w:szCs w:val="18"/>
              </w:rPr>
            </w:pPr>
            <w:r w:rsidRPr="00656FA7">
              <w:rPr>
                <w:sz w:val="18"/>
                <w:szCs w:val="18"/>
              </w:rPr>
              <w:t>4</w:t>
            </w:r>
          </w:p>
        </w:tc>
      </w:tr>
      <w:tr w:rsidR="00917F33" w:rsidRPr="00D625FA" w14:paraId="6E8107F6" w14:textId="77777777" w:rsidTr="000D3381">
        <w:trPr>
          <w:jc w:val="center"/>
        </w:trPr>
        <w:tc>
          <w:tcPr>
            <w:tcW w:w="3256" w:type="dxa"/>
            <w:tcBorders>
              <w:top w:val="single" w:sz="4" w:space="0" w:color="auto"/>
              <w:bottom w:val="nil"/>
            </w:tcBorders>
            <w:shd w:val="clear" w:color="auto" w:fill="auto"/>
            <w:vAlign w:val="center"/>
          </w:tcPr>
          <w:p w14:paraId="6BC7AA55" w14:textId="77777777" w:rsidR="00917F33" w:rsidRPr="00656FA7" w:rsidRDefault="00917F33" w:rsidP="000D3381">
            <w:pPr>
              <w:rPr>
                <w:sz w:val="18"/>
                <w:szCs w:val="18"/>
              </w:rPr>
            </w:pPr>
            <w:r w:rsidRPr="00656FA7">
              <w:rPr>
                <w:rStyle w:val="hps"/>
                <w:bCs/>
                <w:sz w:val="18"/>
                <w:szCs w:val="18"/>
              </w:rPr>
              <w:t>Pro-commitment to learning</w:t>
            </w:r>
          </w:p>
        </w:tc>
        <w:tc>
          <w:tcPr>
            <w:tcW w:w="992" w:type="dxa"/>
            <w:tcBorders>
              <w:bottom w:val="single" w:sz="4" w:space="0" w:color="auto"/>
              <w:right w:val="single" w:sz="4" w:space="0" w:color="auto"/>
            </w:tcBorders>
            <w:shd w:val="clear" w:color="auto" w:fill="auto"/>
            <w:vAlign w:val="center"/>
          </w:tcPr>
          <w:p w14:paraId="65DE61DB" w14:textId="77777777" w:rsidR="00917F33" w:rsidRPr="00656FA7" w:rsidRDefault="00917F33" w:rsidP="000D3381">
            <w:pPr>
              <w:jc w:val="center"/>
              <w:rPr>
                <w:sz w:val="18"/>
                <w:szCs w:val="18"/>
              </w:rPr>
            </w:pPr>
            <w:r w:rsidRPr="00656FA7">
              <w:rPr>
                <w:sz w:val="18"/>
                <w:szCs w:val="18"/>
              </w:rPr>
              <w:t>32.86</w:t>
            </w:r>
          </w:p>
        </w:tc>
        <w:tc>
          <w:tcPr>
            <w:tcW w:w="1134" w:type="dxa"/>
            <w:tcBorders>
              <w:left w:val="single" w:sz="4" w:space="0" w:color="auto"/>
              <w:bottom w:val="single" w:sz="4" w:space="0" w:color="auto"/>
              <w:right w:val="single" w:sz="4" w:space="0" w:color="auto"/>
            </w:tcBorders>
            <w:shd w:val="clear" w:color="auto" w:fill="auto"/>
            <w:vAlign w:val="center"/>
          </w:tcPr>
          <w:p w14:paraId="1F5D0CD1" w14:textId="77777777" w:rsidR="00917F33" w:rsidRPr="00656FA7" w:rsidRDefault="00917F33" w:rsidP="000D3381">
            <w:pPr>
              <w:jc w:val="center"/>
              <w:rPr>
                <w:sz w:val="18"/>
                <w:szCs w:val="18"/>
              </w:rPr>
            </w:pPr>
            <w:r w:rsidRPr="00656FA7">
              <w:rPr>
                <w:sz w:val="18"/>
                <w:szCs w:val="18"/>
              </w:rPr>
              <w:t>2.927</w:t>
            </w:r>
          </w:p>
        </w:tc>
        <w:tc>
          <w:tcPr>
            <w:tcW w:w="1134" w:type="dxa"/>
            <w:tcBorders>
              <w:left w:val="single" w:sz="4" w:space="0" w:color="auto"/>
              <w:bottom w:val="single" w:sz="4" w:space="0" w:color="auto"/>
              <w:right w:val="single" w:sz="4" w:space="0" w:color="auto"/>
            </w:tcBorders>
            <w:shd w:val="clear" w:color="auto" w:fill="auto"/>
            <w:vAlign w:val="center"/>
          </w:tcPr>
          <w:p w14:paraId="4FC163E0" w14:textId="77777777" w:rsidR="00917F33" w:rsidRPr="00656FA7" w:rsidRDefault="00917F33" w:rsidP="000D3381">
            <w:pPr>
              <w:jc w:val="center"/>
              <w:rPr>
                <w:sz w:val="18"/>
                <w:szCs w:val="18"/>
              </w:rPr>
            </w:pPr>
            <w:r w:rsidRPr="00656FA7">
              <w:rPr>
                <w:sz w:val="18"/>
                <w:szCs w:val="18"/>
              </w:rPr>
              <w:t>1.000</w:t>
            </w:r>
          </w:p>
        </w:tc>
        <w:tc>
          <w:tcPr>
            <w:tcW w:w="850" w:type="dxa"/>
            <w:tcBorders>
              <w:left w:val="single" w:sz="4" w:space="0" w:color="auto"/>
              <w:bottom w:val="single" w:sz="4" w:space="0" w:color="auto"/>
              <w:right w:val="single" w:sz="4" w:space="0" w:color="auto"/>
            </w:tcBorders>
            <w:shd w:val="clear" w:color="auto" w:fill="auto"/>
            <w:vAlign w:val="center"/>
          </w:tcPr>
          <w:p w14:paraId="492159D2" w14:textId="77777777" w:rsidR="00917F33" w:rsidRPr="00656FA7" w:rsidRDefault="00917F33" w:rsidP="000D3381">
            <w:pPr>
              <w:jc w:val="center"/>
              <w:rPr>
                <w:sz w:val="18"/>
                <w:szCs w:val="18"/>
              </w:rPr>
            </w:pPr>
          </w:p>
        </w:tc>
        <w:tc>
          <w:tcPr>
            <w:tcW w:w="851" w:type="dxa"/>
            <w:tcBorders>
              <w:left w:val="single" w:sz="4" w:space="0" w:color="auto"/>
              <w:bottom w:val="single" w:sz="4" w:space="0" w:color="auto"/>
              <w:right w:val="single" w:sz="4" w:space="0" w:color="auto"/>
            </w:tcBorders>
            <w:shd w:val="clear" w:color="auto" w:fill="auto"/>
            <w:vAlign w:val="center"/>
          </w:tcPr>
          <w:p w14:paraId="1F7FB824" w14:textId="77777777" w:rsidR="00917F33" w:rsidRPr="00656FA7" w:rsidRDefault="00917F33" w:rsidP="000D3381">
            <w:pPr>
              <w:jc w:val="center"/>
              <w:rPr>
                <w:sz w:val="18"/>
                <w:szCs w:val="18"/>
              </w:rPr>
            </w:pPr>
          </w:p>
        </w:tc>
        <w:tc>
          <w:tcPr>
            <w:tcW w:w="854" w:type="dxa"/>
            <w:tcBorders>
              <w:left w:val="single" w:sz="4" w:space="0" w:color="auto"/>
              <w:bottom w:val="single" w:sz="4" w:space="0" w:color="auto"/>
            </w:tcBorders>
            <w:shd w:val="clear" w:color="auto" w:fill="auto"/>
            <w:vAlign w:val="center"/>
          </w:tcPr>
          <w:p w14:paraId="01C7F14F" w14:textId="77777777" w:rsidR="00917F33" w:rsidRPr="00656FA7" w:rsidRDefault="00917F33" w:rsidP="000D3381">
            <w:pPr>
              <w:jc w:val="center"/>
              <w:rPr>
                <w:sz w:val="18"/>
                <w:szCs w:val="18"/>
              </w:rPr>
            </w:pPr>
          </w:p>
        </w:tc>
      </w:tr>
      <w:tr w:rsidR="00917F33" w:rsidRPr="00D625FA" w14:paraId="14384048" w14:textId="77777777" w:rsidTr="000D3381">
        <w:trPr>
          <w:jc w:val="center"/>
        </w:trPr>
        <w:tc>
          <w:tcPr>
            <w:tcW w:w="3256" w:type="dxa"/>
            <w:tcBorders>
              <w:top w:val="nil"/>
              <w:bottom w:val="nil"/>
            </w:tcBorders>
            <w:shd w:val="clear" w:color="auto" w:fill="auto"/>
            <w:vAlign w:val="center"/>
          </w:tcPr>
          <w:p w14:paraId="671B6546" w14:textId="77777777" w:rsidR="00917F33" w:rsidRPr="00656FA7" w:rsidRDefault="00917F33" w:rsidP="000D3381">
            <w:pPr>
              <w:rPr>
                <w:sz w:val="18"/>
                <w:szCs w:val="18"/>
              </w:rPr>
            </w:pPr>
            <w:r w:rsidRPr="00656FA7">
              <w:rPr>
                <w:bCs/>
                <w:sz w:val="18"/>
                <w:szCs w:val="18"/>
              </w:rPr>
              <w:t>Professional experience portfolio</w:t>
            </w:r>
          </w:p>
        </w:tc>
        <w:tc>
          <w:tcPr>
            <w:tcW w:w="992" w:type="dxa"/>
            <w:tcBorders>
              <w:top w:val="single" w:sz="4" w:space="0" w:color="auto"/>
              <w:bottom w:val="single" w:sz="4" w:space="0" w:color="auto"/>
              <w:right w:val="single" w:sz="4" w:space="0" w:color="auto"/>
            </w:tcBorders>
            <w:shd w:val="clear" w:color="auto" w:fill="auto"/>
            <w:vAlign w:val="center"/>
          </w:tcPr>
          <w:p w14:paraId="21091768" w14:textId="77777777" w:rsidR="00917F33" w:rsidRPr="00656FA7" w:rsidRDefault="00917F33" w:rsidP="000D3381">
            <w:pPr>
              <w:jc w:val="center"/>
              <w:rPr>
                <w:sz w:val="18"/>
                <w:szCs w:val="18"/>
              </w:rPr>
            </w:pPr>
            <w:r w:rsidRPr="00656FA7">
              <w:rPr>
                <w:sz w:val="18"/>
                <w:szCs w:val="18"/>
              </w:rPr>
              <w:t>24.06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D3B69D" w14:textId="77777777" w:rsidR="00917F33" w:rsidRPr="00656FA7" w:rsidRDefault="00917F33" w:rsidP="000D3381">
            <w:pPr>
              <w:jc w:val="center"/>
              <w:rPr>
                <w:sz w:val="18"/>
                <w:szCs w:val="18"/>
              </w:rPr>
            </w:pPr>
            <w:r w:rsidRPr="00656FA7">
              <w:rPr>
                <w:sz w:val="18"/>
                <w:szCs w:val="18"/>
              </w:rPr>
              <w:t>2.188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189F6" w14:textId="77777777" w:rsidR="00917F33" w:rsidRPr="00656FA7" w:rsidRDefault="00917F33" w:rsidP="000D3381">
            <w:pPr>
              <w:jc w:val="center"/>
              <w:rPr>
                <w:sz w:val="18"/>
                <w:szCs w:val="18"/>
              </w:rPr>
            </w:pPr>
            <w:r w:rsidRPr="00656FA7">
              <w:rPr>
                <w:sz w:val="18"/>
                <w:szCs w:val="18"/>
              </w:rPr>
              <w:t>.376*</w:t>
            </w:r>
            <w:r>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E695FC" w14:textId="77777777" w:rsidR="00917F33" w:rsidRPr="00656FA7" w:rsidRDefault="00917F33" w:rsidP="000D3381">
            <w:pPr>
              <w:jc w:val="center"/>
              <w:rPr>
                <w:sz w:val="18"/>
                <w:szCs w:val="18"/>
              </w:rPr>
            </w:pPr>
            <w:r w:rsidRPr="00656FA7">
              <w:rPr>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4A284" w14:textId="77777777" w:rsidR="00917F33" w:rsidRPr="00656FA7" w:rsidRDefault="00917F33" w:rsidP="000D3381">
            <w:pPr>
              <w:jc w:val="center"/>
              <w:rPr>
                <w:sz w:val="18"/>
                <w:szCs w:val="18"/>
              </w:rPr>
            </w:pPr>
          </w:p>
        </w:tc>
        <w:tc>
          <w:tcPr>
            <w:tcW w:w="854" w:type="dxa"/>
            <w:tcBorders>
              <w:top w:val="single" w:sz="4" w:space="0" w:color="auto"/>
              <w:left w:val="single" w:sz="4" w:space="0" w:color="auto"/>
              <w:bottom w:val="single" w:sz="4" w:space="0" w:color="auto"/>
            </w:tcBorders>
            <w:shd w:val="clear" w:color="auto" w:fill="auto"/>
            <w:vAlign w:val="center"/>
          </w:tcPr>
          <w:p w14:paraId="47AB5DBF" w14:textId="77777777" w:rsidR="00917F33" w:rsidRPr="00656FA7" w:rsidRDefault="00917F33" w:rsidP="000D3381">
            <w:pPr>
              <w:jc w:val="center"/>
              <w:rPr>
                <w:sz w:val="18"/>
                <w:szCs w:val="18"/>
              </w:rPr>
            </w:pPr>
          </w:p>
        </w:tc>
      </w:tr>
      <w:tr w:rsidR="00917F33" w:rsidRPr="00D625FA" w14:paraId="3008044F" w14:textId="77777777" w:rsidTr="000D3381">
        <w:trPr>
          <w:jc w:val="center"/>
        </w:trPr>
        <w:tc>
          <w:tcPr>
            <w:tcW w:w="3256" w:type="dxa"/>
            <w:tcBorders>
              <w:top w:val="nil"/>
              <w:bottom w:val="nil"/>
            </w:tcBorders>
            <w:shd w:val="clear" w:color="auto" w:fill="auto"/>
            <w:vAlign w:val="center"/>
          </w:tcPr>
          <w:p w14:paraId="4D06C01B" w14:textId="77777777" w:rsidR="00917F33" w:rsidRPr="00656FA7" w:rsidRDefault="00917F33" w:rsidP="000D3381">
            <w:pPr>
              <w:rPr>
                <w:sz w:val="18"/>
                <w:szCs w:val="18"/>
              </w:rPr>
            </w:pPr>
            <w:r w:rsidRPr="00656FA7">
              <w:rPr>
                <w:bCs/>
                <w:sz w:val="18"/>
                <w:szCs w:val="18"/>
              </w:rPr>
              <w:t>Adaptability to technological change</w:t>
            </w:r>
          </w:p>
        </w:tc>
        <w:tc>
          <w:tcPr>
            <w:tcW w:w="992" w:type="dxa"/>
            <w:tcBorders>
              <w:top w:val="single" w:sz="4" w:space="0" w:color="auto"/>
              <w:bottom w:val="single" w:sz="4" w:space="0" w:color="auto"/>
              <w:right w:val="single" w:sz="4" w:space="0" w:color="auto"/>
            </w:tcBorders>
            <w:shd w:val="clear" w:color="auto" w:fill="auto"/>
            <w:vAlign w:val="center"/>
          </w:tcPr>
          <w:p w14:paraId="17049D42" w14:textId="77777777" w:rsidR="00917F33" w:rsidRPr="00656FA7" w:rsidRDefault="00917F33" w:rsidP="000D3381">
            <w:pPr>
              <w:jc w:val="center"/>
              <w:rPr>
                <w:sz w:val="18"/>
                <w:szCs w:val="18"/>
              </w:rPr>
            </w:pPr>
            <w:r w:rsidRPr="00656FA7">
              <w:rPr>
                <w:sz w:val="18"/>
                <w:szCs w:val="18"/>
              </w:rPr>
              <w:t>32.37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11B176" w14:textId="77777777" w:rsidR="00917F33" w:rsidRPr="00656FA7" w:rsidRDefault="00917F33" w:rsidP="000D3381">
            <w:pPr>
              <w:jc w:val="center"/>
              <w:rPr>
                <w:sz w:val="18"/>
                <w:szCs w:val="18"/>
              </w:rPr>
            </w:pPr>
            <w:r w:rsidRPr="00656FA7">
              <w:rPr>
                <w:sz w:val="18"/>
                <w:szCs w:val="18"/>
              </w:rPr>
              <w:t>2.927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D1D674" w14:textId="77777777" w:rsidR="00917F33" w:rsidRPr="00656FA7" w:rsidRDefault="00917F33" w:rsidP="000D3381">
            <w:pPr>
              <w:jc w:val="center"/>
              <w:rPr>
                <w:sz w:val="18"/>
                <w:szCs w:val="18"/>
              </w:rPr>
            </w:pPr>
            <w:r w:rsidRPr="00656FA7">
              <w:rPr>
                <w:sz w:val="18"/>
                <w:szCs w:val="18"/>
              </w:rPr>
              <w:t>.423*</w:t>
            </w:r>
            <w:r>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1D1122" w14:textId="77777777" w:rsidR="00917F33" w:rsidRPr="00656FA7" w:rsidRDefault="00917F33" w:rsidP="000D3381">
            <w:pPr>
              <w:jc w:val="center"/>
              <w:rPr>
                <w:sz w:val="18"/>
                <w:szCs w:val="18"/>
              </w:rPr>
            </w:pPr>
            <w:r w:rsidRPr="00656FA7">
              <w:rPr>
                <w:sz w:val="18"/>
                <w:szCs w:val="18"/>
              </w:rPr>
              <w:t>.816**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271BE4" w14:textId="77777777" w:rsidR="00917F33" w:rsidRPr="00656FA7" w:rsidRDefault="00917F33" w:rsidP="000D3381">
            <w:pPr>
              <w:jc w:val="center"/>
              <w:rPr>
                <w:sz w:val="18"/>
                <w:szCs w:val="18"/>
              </w:rPr>
            </w:pPr>
            <w:r w:rsidRPr="00656FA7">
              <w:rPr>
                <w:sz w:val="18"/>
                <w:szCs w:val="18"/>
              </w:rPr>
              <w:t>1.000</w:t>
            </w:r>
          </w:p>
        </w:tc>
        <w:tc>
          <w:tcPr>
            <w:tcW w:w="854" w:type="dxa"/>
            <w:tcBorders>
              <w:top w:val="single" w:sz="4" w:space="0" w:color="auto"/>
              <w:left w:val="single" w:sz="4" w:space="0" w:color="auto"/>
              <w:bottom w:val="single" w:sz="4" w:space="0" w:color="auto"/>
            </w:tcBorders>
            <w:shd w:val="clear" w:color="auto" w:fill="auto"/>
            <w:vAlign w:val="center"/>
          </w:tcPr>
          <w:p w14:paraId="2665F22A" w14:textId="77777777" w:rsidR="00917F33" w:rsidRPr="00656FA7" w:rsidRDefault="00917F33" w:rsidP="000D3381">
            <w:pPr>
              <w:jc w:val="center"/>
              <w:rPr>
                <w:sz w:val="18"/>
                <w:szCs w:val="18"/>
              </w:rPr>
            </w:pPr>
          </w:p>
        </w:tc>
      </w:tr>
      <w:tr w:rsidR="00917F33" w:rsidRPr="00D625FA" w14:paraId="02491844" w14:textId="77777777" w:rsidTr="000D3381">
        <w:trPr>
          <w:jc w:val="center"/>
        </w:trPr>
        <w:tc>
          <w:tcPr>
            <w:tcW w:w="3256" w:type="dxa"/>
            <w:tcBorders>
              <w:top w:val="nil"/>
            </w:tcBorders>
            <w:shd w:val="clear" w:color="auto" w:fill="auto"/>
            <w:vAlign w:val="center"/>
          </w:tcPr>
          <w:p w14:paraId="3E9A1661" w14:textId="77777777" w:rsidR="00917F33" w:rsidRPr="00656FA7" w:rsidRDefault="00917F33" w:rsidP="000D3381">
            <w:pPr>
              <w:rPr>
                <w:sz w:val="18"/>
                <w:szCs w:val="18"/>
              </w:rPr>
            </w:pPr>
            <w:r w:rsidRPr="00656FA7">
              <w:rPr>
                <w:sz w:val="18"/>
                <w:szCs w:val="18"/>
              </w:rPr>
              <w:t>Employee performance</w:t>
            </w:r>
          </w:p>
        </w:tc>
        <w:tc>
          <w:tcPr>
            <w:tcW w:w="992" w:type="dxa"/>
            <w:tcBorders>
              <w:top w:val="single" w:sz="4" w:space="0" w:color="auto"/>
              <w:right w:val="single" w:sz="4" w:space="0" w:color="auto"/>
            </w:tcBorders>
            <w:shd w:val="clear" w:color="auto" w:fill="auto"/>
            <w:vAlign w:val="center"/>
          </w:tcPr>
          <w:p w14:paraId="38594C3F" w14:textId="77777777" w:rsidR="00917F33" w:rsidRPr="00656FA7" w:rsidRDefault="00917F33" w:rsidP="000D3381">
            <w:pPr>
              <w:jc w:val="center"/>
              <w:rPr>
                <w:sz w:val="18"/>
                <w:szCs w:val="18"/>
              </w:rPr>
            </w:pPr>
            <w:r w:rsidRPr="00656FA7">
              <w:rPr>
                <w:sz w:val="18"/>
                <w:szCs w:val="18"/>
              </w:rPr>
              <w:t>32.83</w:t>
            </w:r>
          </w:p>
        </w:tc>
        <w:tc>
          <w:tcPr>
            <w:tcW w:w="1134" w:type="dxa"/>
            <w:tcBorders>
              <w:top w:val="single" w:sz="4" w:space="0" w:color="auto"/>
              <w:left w:val="single" w:sz="4" w:space="0" w:color="auto"/>
              <w:right w:val="single" w:sz="4" w:space="0" w:color="auto"/>
            </w:tcBorders>
            <w:shd w:val="clear" w:color="auto" w:fill="auto"/>
            <w:vAlign w:val="center"/>
          </w:tcPr>
          <w:p w14:paraId="54CEF1E4" w14:textId="77777777" w:rsidR="00917F33" w:rsidRPr="00656FA7" w:rsidRDefault="00917F33" w:rsidP="000D3381">
            <w:pPr>
              <w:jc w:val="center"/>
              <w:rPr>
                <w:sz w:val="18"/>
                <w:szCs w:val="18"/>
              </w:rPr>
            </w:pPr>
            <w:r w:rsidRPr="00656FA7">
              <w:rPr>
                <w:sz w:val="18"/>
                <w:szCs w:val="18"/>
              </w:rPr>
              <w:t>2.913</w:t>
            </w:r>
          </w:p>
        </w:tc>
        <w:tc>
          <w:tcPr>
            <w:tcW w:w="1134" w:type="dxa"/>
            <w:tcBorders>
              <w:top w:val="single" w:sz="4" w:space="0" w:color="auto"/>
              <w:left w:val="single" w:sz="4" w:space="0" w:color="auto"/>
              <w:right w:val="single" w:sz="4" w:space="0" w:color="auto"/>
            </w:tcBorders>
            <w:shd w:val="clear" w:color="auto" w:fill="auto"/>
            <w:vAlign w:val="center"/>
          </w:tcPr>
          <w:p w14:paraId="22228BFA" w14:textId="77777777" w:rsidR="00917F33" w:rsidRPr="00656FA7" w:rsidRDefault="00917F33" w:rsidP="000D3381">
            <w:pPr>
              <w:jc w:val="center"/>
              <w:rPr>
                <w:sz w:val="18"/>
                <w:szCs w:val="18"/>
              </w:rPr>
            </w:pPr>
            <w:r w:rsidRPr="00656FA7">
              <w:rPr>
                <w:sz w:val="18"/>
                <w:szCs w:val="18"/>
              </w:rPr>
              <w:t>.425*</w:t>
            </w:r>
            <w:r>
              <w:rPr>
                <w:sz w:val="18"/>
                <w:szCs w:val="18"/>
              </w:rPr>
              <w:t>*</w:t>
            </w:r>
          </w:p>
        </w:tc>
        <w:tc>
          <w:tcPr>
            <w:tcW w:w="850" w:type="dxa"/>
            <w:tcBorders>
              <w:top w:val="single" w:sz="4" w:space="0" w:color="auto"/>
              <w:left w:val="single" w:sz="4" w:space="0" w:color="auto"/>
              <w:right w:val="single" w:sz="4" w:space="0" w:color="auto"/>
            </w:tcBorders>
            <w:shd w:val="clear" w:color="auto" w:fill="auto"/>
            <w:vAlign w:val="center"/>
          </w:tcPr>
          <w:p w14:paraId="2260A8A0" w14:textId="77777777" w:rsidR="00917F33" w:rsidRPr="00656FA7" w:rsidRDefault="00917F33" w:rsidP="000D3381">
            <w:pPr>
              <w:jc w:val="center"/>
              <w:rPr>
                <w:sz w:val="18"/>
                <w:szCs w:val="18"/>
              </w:rPr>
            </w:pPr>
            <w:r w:rsidRPr="00656FA7">
              <w:rPr>
                <w:sz w:val="18"/>
                <w:szCs w:val="18"/>
              </w:rPr>
              <w:t>.747**</w:t>
            </w:r>
          </w:p>
        </w:tc>
        <w:tc>
          <w:tcPr>
            <w:tcW w:w="851" w:type="dxa"/>
            <w:tcBorders>
              <w:top w:val="single" w:sz="4" w:space="0" w:color="auto"/>
              <w:left w:val="single" w:sz="4" w:space="0" w:color="auto"/>
              <w:right w:val="single" w:sz="4" w:space="0" w:color="auto"/>
            </w:tcBorders>
            <w:shd w:val="clear" w:color="auto" w:fill="auto"/>
            <w:vAlign w:val="center"/>
          </w:tcPr>
          <w:p w14:paraId="7131BB71" w14:textId="77777777" w:rsidR="00917F33" w:rsidRPr="00656FA7" w:rsidRDefault="00917F33" w:rsidP="000D3381">
            <w:pPr>
              <w:jc w:val="center"/>
              <w:rPr>
                <w:sz w:val="18"/>
                <w:szCs w:val="18"/>
              </w:rPr>
            </w:pPr>
            <w:r w:rsidRPr="00656FA7">
              <w:rPr>
                <w:sz w:val="18"/>
                <w:szCs w:val="18"/>
              </w:rPr>
              <w:t>.813**</w:t>
            </w:r>
          </w:p>
        </w:tc>
        <w:tc>
          <w:tcPr>
            <w:tcW w:w="854" w:type="dxa"/>
            <w:tcBorders>
              <w:top w:val="single" w:sz="4" w:space="0" w:color="auto"/>
              <w:left w:val="single" w:sz="4" w:space="0" w:color="auto"/>
            </w:tcBorders>
            <w:shd w:val="clear" w:color="auto" w:fill="auto"/>
            <w:vAlign w:val="center"/>
          </w:tcPr>
          <w:p w14:paraId="1BF0DC88" w14:textId="77777777" w:rsidR="00917F33" w:rsidRPr="00656FA7" w:rsidRDefault="00917F33" w:rsidP="000D3381">
            <w:pPr>
              <w:jc w:val="center"/>
              <w:rPr>
                <w:sz w:val="18"/>
                <w:szCs w:val="18"/>
              </w:rPr>
            </w:pPr>
            <w:r w:rsidRPr="00656FA7">
              <w:rPr>
                <w:sz w:val="18"/>
                <w:szCs w:val="18"/>
              </w:rPr>
              <w:t>1.000</w:t>
            </w:r>
          </w:p>
        </w:tc>
      </w:tr>
    </w:tbl>
    <w:p w14:paraId="4934876C" w14:textId="77777777" w:rsidR="00917F33" w:rsidRDefault="00917F33" w:rsidP="00917F33">
      <w:pPr>
        <w:pStyle w:val="Notes"/>
        <w:ind w:left="284"/>
      </w:pPr>
      <w:r>
        <w:t>Note: *p &lt; .05; **p &lt; .0</w:t>
      </w:r>
      <w:r w:rsidRPr="0061643C">
        <w:t>1</w:t>
      </w:r>
    </w:p>
    <w:p w14:paraId="7F3C2634" w14:textId="77777777" w:rsidR="00917F33" w:rsidRDefault="00917F33" w:rsidP="00917F33">
      <w:pPr>
        <w:jc w:val="center"/>
        <w:rPr>
          <w:rFonts w:asciiTheme="majorBidi" w:hAnsiTheme="majorBidi" w:cstheme="majorBidi"/>
        </w:rPr>
      </w:pPr>
    </w:p>
    <w:p w14:paraId="4192A648" w14:textId="77777777" w:rsidR="00917F33" w:rsidRPr="00656FA7" w:rsidRDefault="00917F33" w:rsidP="00917F33">
      <w:pPr>
        <w:pStyle w:val="Paragraphbody"/>
      </w:pPr>
      <w:r w:rsidRPr="002574B1">
        <w:t>The results show that the highest mean value is the pro-commitment to learning variable and the lowest mean value is the professional experience portfolio. Meanwhile, the standard deviation shows that the highest standard deviation is the pro-commitment to learning variable and the lowest standard deviation value is the professional experience portfolio variable. The results show that there is a positive correlation between the commitment to learning and the professional experience</w:t>
      </w:r>
      <w:r>
        <w:t xml:space="preserve"> of the portfolio (r=.376, p&lt;.01</w:t>
      </w:r>
      <w:r w:rsidRPr="002574B1">
        <w:t>), Adaptability to te</w:t>
      </w:r>
      <w:r>
        <w:t>chnological change (r=423, p&lt;.01</w:t>
      </w:r>
      <w:r w:rsidRPr="002574B1">
        <w:t>), Employee performance (r=.425, p&lt;.0</w:t>
      </w:r>
      <w:r>
        <w:t>1</w:t>
      </w:r>
      <w:r w:rsidRPr="002574B1">
        <w:t>), Adaptability to technological change was correlated to professional experience portfolio (r=.816, p&lt;.01), employee performance was correlated to professional experience portfolio (r=.747, p&lt;.01), employee performance was correlated to adaptability to technological change (r=.813, p&lt;.01).</w:t>
      </w:r>
    </w:p>
    <w:p w14:paraId="3201E8B5" w14:textId="77777777" w:rsidR="00917F33" w:rsidRPr="00B8129F" w:rsidRDefault="00917F33" w:rsidP="00917F33">
      <w:pPr>
        <w:pStyle w:val="Tabletitle"/>
      </w:pPr>
      <w:r>
        <w:t>Table 3</w:t>
      </w:r>
      <w:r w:rsidRPr="00B8129F">
        <w:t xml:space="preserve">. </w:t>
      </w:r>
      <w:r>
        <w:t>Characteristic of r</w:t>
      </w:r>
      <w:r w:rsidRPr="00B8129F">
        <w:t>espondents</w:t>
      </w:r>
    </w:p>
    <w:tbl>
      <w:tblPr>
        <w:tblStyle w:val="TableGrid"/>
        <w:tblW w:w="0" w:type="auto"/>
        <w:tblLook w:val="04A0" w:firstRow="1" w:lastRow="0" w:firstColumn="1" w:lastColumn="0" w:noHBand="0" w:noVBand="1"/>
      </w:tblPr>
      <w:tblGrid>
        <w:gridCol w:w="3681"/>
        <w:gridCol w:w="2552"/>
        <w:gridCol w:w="2838"/>
      </w:tblGrid>
      <w:tr w:rsidR="00917F33" w:rsidRPr="002814EE" w14:paraId="2DC02721" w14:textId="77777777" w:rsidTr="000D3381">
        <w:tc>
          <w:tcPr>
            <w:tcW w:w="3681" w:type="dxa"/>
          </w:tcPr>
          <w:p w14:paraId="0E492559"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 xml:space="preserve">Characteristic </w:t>
            </w:r>
          </w:p>
        </w:tc>
        <w:tc>
          <w:tcPr>
            <w:tcW w:w="2552" w:type="dxa"/>
          </w:tcPr>
          <w:p w14:paraId="272A86A6"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Number</w:t>
            </w:r>
          </w:p>
        </w:tc>
        <w:tc>
          <w:tcPr>
            <w:tcW w:w="2838" w:type="dxa"/>
          </w:tcPr>
          <w:p w14:paraId="257C5471"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Percentage</w:t>
            </w:r>
          </w:p>
        </w:tc>
      </w:tr>
      <w:tr w:rsidR="00917F33" w:rsidRPr="002814EE" w14:paraId="7210C6FE" w14:textId="77777777" w:rsidTr="000D3381">
        <w:tc>
          <w:tcPr>
            <w:tcW w:w="9071" w:type="dxa"/>
            <w:gridSpan w:val="3"/>
          </w:tcPr>
          <w:p w14:paraId="3FA9D9AE" w14:textId="77777777" w:rsidR="00917F33" w:rsidRPr="00656FA7" w:rsidRDefault="00917F33" w:rsidP="000D3381">
            <w:pPr>
              <w:rPr>
                <w:rFonts w:asciiTheme="majorBidi" w:hAnsiTheme="majorBidi" w:cstheme="majorBidi"/>
                <w:b/>
                <w:bCs/>
                <w:sz w:val="18"/>
                <w:szCs w:val="18"/>
              </w:rPr>
            </w:pPr>
            <w:r w:rsidRPr="00656FA7">
              <w:rPr>
                <w:rFonts w:asciiTheme="majorBidi" w:hAnsiTheme="majorBidi" w:cstheme="majorBidi"/>
                <w:b/>
                <w:bCs/>
                <w:sz w:val="18"/>
                <w:szCs w:val="18"/>
              </w:rPr>
              <w:t>GENDER</w:t>
            </w:r>
          </w:p>
        </w:tc>
      </w:tr>
      <w:tr w:rsidR="00917F33" w:rsidRPr="002814EE" w14:paraId="33AD7CAA" w14:textId="77777777" w:rsidTr="000D3381">
        <w:tc>
          <w:tcPr>
            <w:tcW w:w="3681" w:type="dxa"/>
          </w:tcPr>
          <w:p w14:paraId="08AEF5DD"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Male</w:t>
            </w:r>
          </w:p>
        </w:tc>
        <w:tc>
          <w:tcPr>
            <w:tcW w:w="2552" w:type="dxa"/>
            <w:vAlign w:val="center"/>
          </w:tcPr>
          <w:p w14:paraId="3B1ACEDE"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148</w:t>
            </w:r>
          </w:p>
        </w:tc>
        <w:tc>
          <w:tcPr>
            <w:tcW w:w="2838" w:type="dxa"/>
            <w:vAlign w:val="center"/>
          </w:tcPr>
          <w:p w14:paraId="0E7EDB3D"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66.4%</w:t>
            </w:r>
          </w:p>
        </w:tc>
      </w:tr>
      <w:tr w:rsidR="00917F33" w:rsidRPr="002814EE" w14:paraId="1FC80542" w14:textId="77777777" w:rsidTr="000D3381">
        <w:tc>
          <w:tcPr>
            <w:tcW w:w="3681" w:type="dxa"/>
          </w:tcPr>
          <w:p w14:paraId="219466DE"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Female</w:t>
            </w:r>
          </w:p>
        </w:tc>
        <w:tc>
          <w:tcPr>
            <w:tcW w:w="2552" w:type="dxa"/>
            <w:vAlign w:val="center"/>
          </w:tcPr>
          <w:p w14:paraId="553B15B5"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75</w:t>
            </w:r>
          </w:p>
        </w:tc>
        <w:tc>
          <w:tcPr>
            <w:tcW w:w="2838" w:type="dxa"/>
            <w:vAlign w:val="center"/>
          </w:tcPr>
          <w:p w14:paraId="56BCB065"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33.6%</w:t>
            </w:r>
          </w:p>
        </w:tc>
      </w:tr>
      <w:tr w:rsidR="00917F33" w14:paraId="2BAA2B93" w14:textId="77777777" w:rsidTr="000D3381">
        <w:tc>
          <w:tcPr>
            <w:tcW w:w="9071" w:type="dxa"/>
            <w:gridSpan w:val="3"/>
          </w:tcPr>
          <w:p w14:paraId="577E8466" w14:textId="77777777" w:rsidR="00917F33" w:rsidRPr="00CA3FD6" w:rsidRDefault="00917F33" w:rsidP="000D3381">
            <w:pPr>
              <w:rPr>
                <w:rFonts w:asciiTheme="majorBidi" w:hAnsiTheme="majorBidi" w:cstheme="majorBidi"/>
                <w:b/>
                <w:bCs/>
                <w:sz w:val="18"/>
                <w:szCs w:val="18"/>
              </w:rPr>
            </w:pPr>
            <w:r w:rsidRPr="00CA3FD6">
              <w:rPr>
                <w:rFonts w:asciiTheme="majorBidi" w:hAnsiTheme="majorBidi" w:cstheme="majorBidi"/>
                <w:b/>
                <w:bCs/>
                <w:sz w:val="18"/>
                <w:szCs w:val="18"/>
              </w:rPr>
              <w:t>EDUCATION</w:t>
            </w:r>
          </w:p>
        </w:tc>
      </w:tr>
      <w:tr w:rsidR="00917F33" w14:paraId="21EF5480" w14:textId="77777777" w:rsidTr="000D3381">
        <w:tc>
          <w:tcPr>
            <w:tcW w:w="3681" w:type="dxa"/>
          </w:tcPr>
          <w:p w14:paraId="3A567D2C"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Senior High School</w:t>
            </w:r>
          </w:p>
        </w:tc>
        <w:tc>
          <w:tcPr>
            <w:tcW w:w="2552" w:type="dxa"/>
            <w:vAlign w:val="center"/>
          </w:tcPr>
          <w:p w14:paraId="230CC180"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111</w:t>
            </w:r>
          </w:p>
        </w:tc>
        <w:tc>
          <w:tcPr>
            <w:tcW w:w="2838" w:type="dxa"/>
            <w:vAlign w:val="center"/>
          </w:tcPr>
          <w:p w14:paraId="3B680E09"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49.8%</w:t>
            </w:r>
          </w:p>
        </w:tc>
      </w:tr>
      <w:tr w:rsidR="00917F33" w14:paraId="5C1C0284" w14:textId="77777777" w:rsidTr="000D3381">
        <w:tc>
          <w:tcPr>
            <w:tcW w:w="3681" w:type="dxa"/>
          </w:tcPr>
          <w:p w14:paraId="7589752F"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DIPLOMA</w:t>
            </w:r>
          </w:p>
        </w:tc>
        <w:tc>
          <w:tcPr>
            <w:tcW w:w="2552" w:type="dxa"/>
            <w:vAlign w:val="center"/>
          </w:tcPr>
          <w:p w14:paraId="35617F3D"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13</w:t>
            </w:r>
          </w:p>
        </w:tc>
        <w:tc>
          <w:tcPr>
            <w:tcW w:w="2838" w:type="dxa"/>
            <w:vAlign w:val="center"/>
          </w:tcPr>
          <w:p w14:paraId="785B280A"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5.8 %</w:t>
            </w:r>
          </w:p>
        </w:tc>
      </w:tr>
      <w:tr w:rsidR="00917F33" w14:paraId="39821336" w14:textId="77777777" w:rsidTr="000D3381">
        <w:tc>
          <w:tcPr>
            <w:tcW w:w="3681" w:type="dxa"/>
          </w:tcPr>
          <w:p w14:paraId="39995799"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Undergraduate</w:t>
            </w:r>
          </w:p>
        </w:tc>
        <w:tc>
          <w:tcPr>
            <w:tcW w:w="2552" w:type="dxa"/>
            <w:vAlign w:val="center"/>
          </w:tcPr>
          <w:p w14:paraId="4AC253A9"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92</w:t>
            </w:r>
          </w:p>
        </w:tc>
        <w:tc>
          <w:tcPr>
            <w:tcW w:w="2838" w:type="dxa"/>
            <w:vAlign w:val="center"/>
          </w:tcPr>
          <w:p w14:paraId="1C105463"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41.3%</w:t>
            </w:r>
          </w:p>
        </w:tc>
      </w:tr>
      <w:tr w:rsidR="00917F33" w14:paraId="63EA865D" w14:textId="77777777" w:rsidTr="000D3381">
        <w:tc>
          <w:tcPr>
            <w:tcW w:w="3681" w:type="dxa"/>
          </w:tcPr>
          <w:p w14:paraId="4E27CFC4"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Postgraduate</w:t>
            </w:r>
          </w:p>
        </w:tc>
        <w:tc>
          <w:tcPr>
            <w:tcW w:w="2552" w:type="dxa"/>
            <w:vAlign w:val="center"/>
          </w:tcPr>
          <w:p w14:paraId="685A612D"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7</w:t>
            </w:r>
          </w:p>
        </w:tc>
        <w:tc>
          <w:tcPr>
            <w:tcW w:w="2838" w:type="dxa"/>
            <w:vAlign w:val="center"/>
          </w:tcPr>
          <w:p w14:paraId="6E4EE66B"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3.1 %</w:t>
            </w:r>
          </w:p>
        </w:tc>
      </w:tr>
      <w:tr w:rsidR="00917F33" w14:paraId="0164F42E" w14:textId="77777777" w:rsidTr="000D3381">
        <w:tc>
          <w:tcPr>
            <w:tcW w:w="9071" w:type="dxa"/>
            <w:gridSpan w:val="3"/>
          </w:tcPr>
          <w:p w14:paraId="3731826A" w14:textId="77777777" w:rsidR="00917F33" w:rsidRPr="00CA3FD6" w:rsidRDefault="00917F33" w:rsidP="000D3381">
            <w:pPr>
              <w:rPr>
                <w:rFonts w:asciiTheme="majorBidi" w:hAnsiTheme="majorBidi" w:cstheme="majorBidi"/>
                <w:b/>
                <w:bCs/>
                <w:sz w:val="18"/>
                <w:szCs w:val="18"/>
              </w:rPr>
            </w:pPr>
            <w:r w:rsidRPr="00CA3FD6">
              <w:rPr>
                <w:rFonts w:asciiTheme="majorBidi" w:hAnsiTheme="majorBidi" w:cstheme="majorBidi"/>
                <w:b/>
                <w:bCs/>
                <w:sz w:val="18"/>
                <w:szCs w:val="18"/>
              </w:rPr>
              <w:t>JOB</w:t>
            </w:r>
          </w:p>
        </w:tc>
      </w:tr>
      <w:tr w:rsidR="00917F33" w14:paraId="740012CD" w14:textId="77777777" w:rsidTr="000D3381">
        <w:tc>
          <w:tcPr>
            <w:tcW w:w="3681" w:type="dxa"/>
          </w:tcPr>
          <w:p w14:paraId="18F829C2"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Strategic Staff</w:t>
            </w:r>
          </w:p>
        </w:tc>
        <w:tc>
          <w:tcPr>
            <w:tcW w:w="2552" w:type="dxa"/>
            <w:vAlign w:val="center"/>
          </w:tcPr>
          <w:p w14:paraId="0366AEEE"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2</w:t>
            </w:r>
          </w:p>
        </w:tc>
        <w:tc>
          <w:tcPr>
            <w:tcW w:w="2838" w:type="dxa"/>
            <w:vAlign w:val="center"/>
          </w:tcPr>
          <w:p w14:paraId="155188F6"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9%</w:t>
            </w:r>
          </w:p>
        </w:tc>
      </w:tr>
      <w:tr w:rsidR="00917F33" w14:paraId="368A7F3C" w14:textId="77777777" w:rsidTr="000D3381">
        <w:tc>
          <w:tcPr>
            <w:tcW w:w="3681" w:type="dxa"/>
          </w:tcPr>
          <w:p w14:paraId="41DE4B54"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Supervisor</w:t>
            </w:r>
          </w:p>
        </w:tc>
        <w:tc>
          <w:tcPr>
            <w:tcW w:w="2552" w:type="dxa"/>
            <w:vAlign w:val="center"/>
          </w:tcPr>
          <w:p w14:paraId="07FCB9B3"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106</w:t>
            </w:r>
          </w:p>
        </w:tc>
        <w:tc>
          <w:tcPr>
            <w:tcW w:w="2838" w:type="dxa"/>
            <w:vAlign w:val="center"/>
          </w:tcPr>
          <w:p w14:paraId="056CB5E3"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47.5%</w:t>
            </w:r>
          </w:p>
        </w:tc>
      </w:tr>
      <w:tr w:rsidR="00917F33" w14:paraId="39738D52" w14:textId="77777777" w:rsidTr="000D3381">
        <w:tc>
          <w:tcPr>
            <w:tcW w:w="3681" w:type="dxa"/>
          </w:tcPr>
          <w:p w14:paraId="7A3FFC5B"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Manager</w:t>
            </w:r>
          </w:p>
        </w:tc>
        <w:tc>
          <w:tcPr>
            <w:tcW w:w="2552" w:type="dxa"/>
            <w:vAlign w:val="center"/>
          </w:tcPr>
          <w:p w14:paraId="03C12DEB"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115</w:t>
            </w:r>
          </w:p>
        </w:tc>
        <w:tc>
          <w:tcPr>
            <w:tcW w:w="2838" w:type="dxa"/>
            <w:vAlign w:val="center"/>
          </w:tcPr>
          <w:p w14:paraId="250B316B"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51.6%</w:t>
            </w:r>
          </w:p>
        </w:tc>
      </w:tr>
      <w:tr w:rsidR="00917F33" w14:paraId="48ED04F5" w14:textId="77777777" w:rsidTr="000D3381">
        <w:tc>
          <w:tcPr>
            <w:tcW w:w="9071" w:type="dxa"/>
            <w:gridSpan w:val="3"/>
          </w:tcPr>
          <w:p w14:paraId="21014627" w14:textId="77777777" w:rsidR="00917F33" w:rsidRPr="00CA3FD6" w:rsidRDefault="00917F33" w:rsidP="000D3381">
            <w:pPr>
              <w:rPr>
                <w:rFonts w:asciiTheme="majorBidi" w:hAnsiTheme="majorBidi" w:cstheme="majorBidi"/>
                <w:b/>
                <w:bCs/>
                <w:sz w:val="18"/>
                <w:szCs w:val="18"/>
              </w:rPr>
            </w:pPr>
            <w:r w:rsidRPr="00CA3FD6">
              <w:rPr>
                <w:rFonts w:asciiTheme="majorBidi" w:hAnsiTheme="majorBidi" w:cstheme="majorBidi"/>
                <w:b/>
                <w:bCs/>
                <w:sz w:val="18"/>
                <w:szCs w:val="18"/>
              </w:rPr>
              <w:t xml:space="preserve">WORK EXPERIENCE </w:t>
            </w:r>
          </w:p>
        </w:tc>
      </w:tr>
      <w:tr w:rsidR="00917F33" w14:paraId="6A3C8A1F" w14:textId="77777777" w:rsidTr="000D3381">
        <w:tc>
          <w:tcPr>
            <w:tcW w:w="3681" w:type="dxa"/>
          </w:tcPr>
          <w:p w14:paraId="47E40D16"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 xml:space="preserve">&lt; 5 years </w:t>
            </w:r>
          </w:p>
        </w:tc>
        <w:tc>
          <w:tcPr>
            <w:tcW w:w="2552" w:type="dxa"/>
            <w:vAlign w:val="center"/>
          </w:tcPr>
          <w:p w14:paraId="12D6D5EB"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14</w:t>
            </w:r>
          </w:p>
        </w:tc>
        <w:tc>
          <w:tcPr>
            <w:tcW w:w="2838" w:type="dxa"/>
            <w:vAlign w:val="center"/>
          </w:tcPr>
          <w:p w14:paraId="56D95271"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6.3%</w:t>
            </w:r>
          </w:p>
        </w:tc>
      </w:tr>
      <w:tr w:rsidR="00917F33" w14:paraId="61DF88AA" w14:textId="77777777" w:rsidTr="000D3381">
        <w:tc>
          <w:tcPr>
            <w:tcW w:w="3681" w:type="dxa"/>
          </w:tcPr>
          <w:p w14:paraId="2F8BB5A2"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6-10 years</w:t>
            </w:r>
          </w:p>
        </w:tc>
        <w:tc>
          <w:tcPr>
            <w:tcW w:w="2552" w:type="dxa"/>
            <w:vAlign w:val="center"/>
          </w:tcPr>
          <w:p w14:paraId="1DC3D0AF"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45</w:t>
            </w:r>
          </w:p>
        </w:tc>
        <w:tc>
          <w:tcPr>
            <w:tcW w:w="2838" w:type="dxa"/>
            <w:vAlign w:val="center"/>
          </w:tcPr>
          <w:p w14:paraId="7C299254"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20.2%</w:t>
            </w:r>
          </w:p>
        </w:tc>
      </w:tr>
      <w:tr w:rsidR="00917F33" w14:paraId="6B7B1FE0" w14:textId="77777777" w:rsidTr="000D3381">
        <w:tc>
          <w:tcPr>
            <w:tcW w:w="3681" w:type="dxa"/>
          </w:tcPr>
          <w:p w14:paraId="578ACE2E"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11-15 years</w:t>
            </w:r>
          </w:p>
        </w:tc>
        <w:tc>
          <w:tcPr>
            <w:tcW w:w="2552" w:type="dxa"/>
            <w:vAlign w:val="center"/>
          </w:tcPr>
          <w:p w14:paraId="03148E2F"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20</w:t>
            </w:r>
          </w:p>
        </w:tc>
        <w:tc>
          <w:tcPr>
            <w:tcW w:w="2838" w:type="dxa"/>
            <w:vAlign w:val="center"/>
          </w:tcPr>
          <w:p w14:paraId="469F61E3"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9.0%</w:t>
            </w:r>
          </w:p>
        </w:tc>
      </w:tr>
      <w:tr w:rsidR="00917F33" w14:paraId="2DF92ECA" w14:textId="77777777" w:rsidTr="000D3381">
        <w:tc>
          <w:tcPr>
            <w:tcW w:w="3681" w:type="dxa"/>
          </w:tcPr>
          <w:p w14:paraId="6D82C01F" w14:textId="77777777" w:rsidR="00917F33" w:rsidRPr="00CA3FD6" w:rsidRDefault="00917F33" w:rsidP="00917F33">
            <w:pPr>
              <w:pStyle w:val="ListParagraph"/>
              <w:numPr>
                <w:ilvl w:val="1"/>
                <w:numId w:val="30"/>
              </w:numPr>
              <w:spacing w:after="0" w:line="240" w:lineRule="auto"/>
              <w:rPr>
                <w:rFonts w:asciiTheme="majorBidi" w:hAnsiTheme="majorBidi" w:cstheme="majorBidi"/>
                <w:sz w:val="18"/>
                <w:szCs w:val="18"/>
              </w:rPr>
            </w:pPr>
            <w:r w:rsidRPr="00CA3FD6">
              <w:rPr>
                <w:rFonts w:asciiTheme="majorBidi" w:hAnsiTheme="majorBidi" w:cstheme="majorBidi"/>
                <w:sz w:val="18"/>
                <w:szCs w:val="18"/>
              </w:rPr>
              <w:t>Years</w:t>
            </w:r>
          </w:p>
        </w:tc>
        <w:tc>
          <w:tcPr>
            <w:tcW w:w="2552" w:type="dxa"/>
            <w:vAlign w:val="center"/>
          </w:tcPr>
          <w:p w14:paraId="4C1146E5"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16</w:t>
            </w:r>
          </w:p>
        </w:tc>
        <w:tc>
          <w:tcPr>
            <w:tcW w:w="2838" w:type="dxa"/>
            <w:vAlign w:val="center"/>
          </w:tcPr>
          <w:p w14:paraId="4DD98CBE"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7.2%</w:t>
            </w:r>
          </w:p>
        </w:tc>
      </w:tr>
      <w:tr w:rsidR="00917F33" w14:paraId="661DA4C1" w14:textId="77777777" w:rsidTr="000D3381">
        <w:tc>
          <w:tcPr>
            <w:tcW w:w="3681" w:type="dxa"/>
          </w:tcPr>
          <w:p w14:paraId="4B84C616"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&gt;21 years</w:t>
            </w:r>
          </w:p>
        </w:tc>
        <w:tc>
          <w:tcPr>
            <w:tcW w:w="2552" w:type="dxa"/>
            <w:vAlign w:val="center"/>
          </w:tcPr>
          <w:p w14:paraId="3FB01781"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128</w:t>
            </w:r>
          </w:p>
        </w:tc>
        <w:tc>
          <w:tcPr>
            <w:tcW w:w="2838" w:type="dxa"/>
            <w:vAlign w:val="center"/>
          </w:tcPr>
          <w:p w14:paraId="61827DB6"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57.4%</w:t>
            </w:r>
          </w:p>
        </w:tc>
      </w:tr>
      <w:tr w:rsidR="00917F33" w14:paraId="18F86BAD" w14:textId="77777777" w:rsidTr="000D3381">
        <w:tc>
          <w:tcPr>
            <w:tcW w:w="9071" w:type="dxa"/>
            <w:gridSpan w:val="3"/>
          </w:tcPr>
          <w:p w14:paraId="1A4660B3" w14:textId="77777777" w:rsidR="00917F33" w:rsidRPr="00656FA7" w:rsidRDefault="00917F33" w:rsidP="000D3381">
            <w:pPr>
              <w:rPr>
                <w:rFonts w:asciiTheme="majorBidi" w:hAnsiTheme="majorBidi" w:cstheme="majorBidi"/>
                <w:b/>
                <w:bCs/>
                <w:sz w:val="18"/>
                <w:szCs w:val="18"/>
              </w:rPr>
            </w:pPr>
            <w:r w:rsidRPr="00656FA7">
              <w:rPr>
                <w:rFonts w:asciiTheme="majorBidi" w:hAnsiTheme="majorBidi" w:cstheme="majorBidi"/>
                <w:b/>
                <w:bCs/>
                <w:sz w:val="18"/>
                <w:szCs w:val="18"/>
              </w:rPr>
              <w:t>AREA/</w:t>
            </w:r>
            <w:r w:rsidRPr="00CA3FD6">
              <w:rPr>
                <w:rFonts w:asciiTheme="majorBidi" w:hAnsiTheme="majorBidi" w:cstheme="majorBidi"/>
                <w:b/>
                <w:bCs/>
                <w:sz w:val="18"/>
                <w:szCs w:val="18"/>
              </w:rPr>
              <w:t xml:space="preserve">PROVINCES </w:t>
            </w:r>
          </w:p>
        </w:tc>
      </w:tr>
      <w:tr w:rsidR="00917F33" w14:paraId="6657F179" w14:textId="77777777" w:rsidTr="000D3381">
        <w:tc>
          <w:tcPr>
            <w:tcW w:w="3681" w:type="dxa"/>
          </w:tcPr>
          <w:p w14:paraId="0D478B9D"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Central Java</w:t>
            </w:r>
          </w:p>
        </w:tc>
        <w:tc>
          <w:tcPr>
            <w:tcW w:w="2552" w:type="dxa"/>
            <w:vAlign w:val="center"/>
          </w:tcPr>
          <w:p w14:paraId="0CC3CF9E"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16</w:t>
            </w:r>
          </w:p>
        </w:tc>
        <w:tc>
          <w:tcPr>
            <w:tcW w:w="2838" w:type="dxa"/>
            <w:vAlign w:val="center"/>
          </w:tcPr>
          <w:p w14:paraId="4F00A21C"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89%</w:t>
            </w:r>
          </w:p>
        </w:tc>
      </w:tr>
      <w:tr w:rsidR="00917F33" w14:paraId="0BA3039B" w14:textId="77777777" w:rsidTr="000D3381">
        <w:tc>
          <w:tcPr>
            <w:tcW w:w="3681" w:type="dxa"/>
          </w:tcPr>
          <w:p w14:paraId="56D79EF9" w14:textId="77777777" w:rsidR="00917F33" w:rsidRPr="00CA3FD6" w:rsidRDefault="00917F33" w:rsidP="000D3381">
            <w:pPr>
              <w:rPr>
                <w:rFonts w:asciiTheme="majorBidi" w:hAnsiTheme="majorBidi" w:cstheme="majorBidi"/>
                <w:sz w:val="18"/>
                <w:szCs w:val="18"/>
              </w:rPr>
            </w:pPr>
            <w:r w:rsidRPr="00CA3FD6">
              <w:rPr>
                <w:rFonts w:asciiTheme="majorBidi" w:hAnsiTheme="majorBidi" w:cstheme="majorBidi"/>
                <w:sz w:val="18"/>
                <w:szCs w:val="18"/>
              </w:rPr>
              <w:t>Daerah Istimewa Yogyakarta</w:t>
            </w:r>
          </w:p>
        </w:tc>
        <w:tc>
          <w:tcPr>
            <w:tcW w:w="2552" w:type="dxa"/>
            <w:vAlign w:val="center"/>
          </w:tcPr>
          <w:p w14:paraId="28FAA581"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2</w:t>
            </w:r>
          </w:p>
        </w:tc>
        <w:tc>
          <w:tcPr>
            <w:tcW w:w="2838" w:type="dxa"/>
            <w:vAlign w:val="center"/>
          </w:tcPr>
          <w:p w14:paraId="32AC00AF" w14:textId="77777777" w:rsidR="00917F33" w:rsidRPr="00CA3FD6" w:rsidRDefault="00917F33" w:rsidP="000D3381">
            <w:pPr>
              <w:jc w:val="center"/>
              <w:rPr>
                <w:rFonts w:asciiTheme="majorBidi" w:hAnsiTheme="majorBidi" w:cstheme="majorBidi"/>
                <w:sz w:val="18"/>
                <w:szCs w:val="18"/>
              </w:rPr>
            </w:pPr>
            <w:r w:rsidRPr="00CA3FD6">
              <w:rPr>
                <w:rFonts w:asciiTheme="majorBidi" w:hAnsiTheme="majorBidi" w:cstheme="majorBidi"/>
                <w:sz w:val="18"/>
                <w:szCs w:val="18"/>
              </w:rPr>
              <w:t>11%</w:t>
            </w:r>
          </w:p>
        </w:tc>
      </w:tr>
    </w:tbl>
    <w:p w14:paraId="07CE1679" w14:textId="77777777" w:rsidR="00917F33" w:rsidRDefault="00917F33" w:rsidP="00917F33">
      <w:pPr>
        <w:pStyle w:val="Paragraphbody"/>
      </w:pPr>
    </w:p>
    <w:p w14:paraId="0840C62D" w14:textId="77777777" w:rsidR="00917F33" w:rsidRDefault="00917F33" w:rsidP="00917F33">
      <w:pPr>
        <w:pStyle w:val="Paragraphbody"/>
      </w:pPr>
      <w:r w:rsidRPr="00D56240">
        <w:t>Based on the data it is known that the number of respondents used in this study were 223 respondents consisting of 66.4% male respondents and 33.6% female respondents. The distribution based on the most education is senior high school amounting to 49.8% and the least is postgraduate which amounts to 3.1%. From the position point of view, in this study respondents with managerial positions had the highest number which was 51.6% and the least position was strategic staff which was 9%. While from work experience, the most experience is over 20 years with a total of 57.4%.</w:t>
      </w:r>
    </w:p>
    <w:p w14:paraId="37FF51E3" w14:textId="77777777" w:rsidR="00917F33" w:rsidRPr="00D56240" w:rsidRDefault="00917F33" w:rsidP="00917F33">
      <w:pPr>
        <w:pStyle w:val="Heading2"/>
      </w:pPr>
      <w:r w:rsidRPr="00D56240">
        <w:t>3.</w:t>
      </w:r>
      <w:r>
        <w:t>3</w:t>
      </w:r>
      <w:r w:rsidRPr="00D56240">
        <w:t>. Hypothesis testing and sobel test</w:t>
      </w:r>
    </w:p>
    <w:p w14:paraId="58F54B61" w14:textId="77777777" w:rsidR="00917F33" w:rsidRPr="00656FA7" w:rsidRDefault="00917F33" w:rsidP="00917F33">
      <w:pPr>
        <w:pStyle w:val="Paragraphbody"/>
      </w:pPr>
      <w:r w:rsidRPr="00656FA7">
        <w:t>The results of AMOS 21 shows that the value of statistic chi-Square is 154,977 which means the model is not yet fit because the chi-square statist</w:t>
      </w:r>
      <w:r>
        <w:t>ic &gt; of the chi-square</w:t>
      </w:r>
      <w:r w:rsidRPr="00656FA7">
        <w:t xml:space="preserve"> table. Since the chi-square value is very conservative and depends on the large number of samples, it can cause type II errors (reject the correct model) so it is advisable to look at other goodness of fit indices </w:t>
      </w:r>
      <w:r>
        <w:fldChar w:fldCharType="begin" w:fldLock="1"/>
      </w:r>
      <w:r>
        <w:instrText>ADDIN CSL_CITATION { "citationItems" : [ { "id" : "ITEM-1", "itemData" : { "author" : [ { "dropping-particle" : "", "family" : "Hooper", "given" : "Daire", "non-dropping-particle" : "", "parse-names" : false, "suffix" : "" }, { "dropping-particle" : "", "family" : "Coughlan", "given" : "Joseph", "non-dropping-particle" : "", "parse-names" : false, "suffix" : "" }, { "dropping-particle" : "", "family" : "Mullen", "given" : "Michael", "non-dropping-particle" : "", "parse-names" : false, "suffix" : "" } ], "container-title" : "Electronic Journal of Business Research Methods", "id" : "ITEM-1", "issue" : "1", "issued" : { "date-parts" : [ [ "2008" ] ] }, "page" : "53-60", "title" : "Structural Equation Modelling: Guidelines for determining model fit", "type" : "article-journal", "volume" : "6" }, "uris" : [ "http://www.mendeley.com/documents/?uuid=c5cdc793-baea-433f-a94d-a0537382841e" ] } ], "mendeley" : { "formattedCitation" : "(Hooper et al., 2008)", "plainTextFormattedCitation" : "(Hooper et al., 2008)", "previouslyFormattedCitation" : "(Hooper et al., 2008)" }, "properties" : { "noteIndex" : 0 }, "schema" : "https://github.com/citation-style-language/schema/raw/master/csl-citation.json" }</w:instrText>
      </w:r>
      <w:r>
        <w:fldChar w:fldCharType="separate"/>
      </w:r>
      <w:r w:rsidRPr="00286FB9">
        <w:rPr>
          <w:noProof/>
        </w:rPr>
        <w:t>(Hooper et al., 2008)</w:t>
      </w:r>
      <w:r>
        <w:fldChar w:fldCharType="end"/>
      </w:r>
      <w:r w:rsidRPr="00656FA7">
        <w:t>. However, because the number of samples used is large (&gt;200), the chi-square value can be ignored. Other test results indicate that the value of CMIN/df is 1.823 ≤ 2.00 (Fit); the TLI/Tuckle Lewis Index score is 0.962&gt;0.90 (Fit), the AGFI/Adjusted Goodness of Fit score is 0.841&lt;0.90 (Medium), the CFI/ Comparative Fit Index score is 0.887&lt;0.90 (Medium), the CFI is 0.969&gt;0.09 (Fit); and the RMSEA score is 0.072&lt; 0.08 (Fit). It indicates that these scores have suited the predetermined cut-off.</w:t>
      </w:r>
    </w:p>
    <w:p w14:paraId="5559A0E1" w14:textId="77777777" w:rsidR="00917F33" w:rsidRPr="00656FA7" w:rsidRDefault="00917F33" w:rsidP="00917F33">
      <w:pPr>
        <w:pStyle w:val="Paragraphbody"/>
      </w:pPr>
    </w:p>
    <w:p w14:paraId="6A7DAD01" w14:textId="77777777" w:rsidR="00917F33" w:rsidRDefault="00917F33" w:rsidP="00917F33">
      <w:pPr>
        <w:pStyle w:val="Paragraphbody"/>
      </w:pPr>
    </w:p>
    <w:p w14:paraId="7262F453" w14:textId="77777777" w:rsidR="00917F33" w:rsidRPr="00656FA7" w:rsidRDefault="00917F33" w:rsidP="00917F33">
      <w:pPr>
        <w:pStyle w:val="Tabletitle"/>
        <w:rPr>
          <w:rStyle w:val="hps"/>
        </w:rPr>
      </w:pPr>
      <w:r>
        <w:rPr>
          <w:noProof/>
          <w:lang w:val="en-US" w:eastAsia="en-US"/>
        </w:rPr>
        <w:drawing>
          <wp:inline distT="0" distB="0" distL="0" distR="0" wp14:anchorId="700ED6B6" wp14:editId="044FFA22">
            <wp:extent cx="6120765" cy="4330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png"/>
                    <pic:cNvPicPr/>
                  </pic:nvPicPr>
                  <pic:blipFill>
                    <a:blip r:embed="rId9">
                      <a:extLst>
                        <a:ext uri="{28A0092B-C50C-407E-A947-70E740481C1C}">
                          <a14:useLocalDpi xmlns:a14="http://schemas.microsoft.com/office/drawing/2010/main" val="0"/>
                        </a:ext>
                      </a:extLst>
                    </a:blip>
                    <a:stretch>
                      <a:fillRect/>
                    </a:stretch>
                  </pic:blipFill>
                  <pic:spPr>
                    <a:xfrm>
                      <a:off x="0" y="0"/>
                      <a:ext cx="6120765" cy="4330065"/>
                    </a:xfrm>
                    <a:prstGeom prst="rect">
                      <a:avLst/>
                    </a:prstGeom>
                  </pic:spPr>
                </pic:pic>
              </a:graphicData>
            </a:graphic>
          </wp:inline>
        </w:drawing>
      </w:r>
      <w:r w:rsidRPr="00656FA7">
        <w:rPr>
          <w:rStyle w:val="hps"/>
        </w:rPr>
        <w:t xml:space="preserve">Figure 1. The </w:t>
      </w:r>
      <w:r w:rsidRPr="00864ABF">
        <w:rPr>
          <w:rStyle w:val="hps"/>
        </w:rPr>
        <w:t>result of the research</w:t>
      </w:r>
    </w:p>
    <w:p w14:paraId="594402BF" w14:textId="77777777" w:rsidR="00917F33" w:rsidRPr="004D157B" w:rsidRDefault="00917F33" w:rsidP="00917F33">
      <w:pPr>
        <w:pStyle w:val="Tabletitle"/>
      </w:pPr>
      <w:r w:rsidRPr="00C561E5">
        <w:t xml:space="preserve">Table </w:t>
      </w:r>
      <w:r>
        <w:t>4</w:t>
      </w:r>
      <w:r w:rsidRPr="00C561E5">
        <w:t xml:space="preserve"> Line test results coefficient: professional experience portfolio, </w:t>
      </w:r>
      <w:r w:rsidRPr="00C561E5">
        <w:rPr>
          <w:rStyle w:val="hps"/>
          <w:rFonts w:asciiTheme="minorHAnsi" w:hAnsiTheme="minorHAnsi" w:cstheme="minorHAnsi"/>
        </w:rPr>
        <w:t xml:space="preserve">pro-commitment </w:t>
      </w:r>
      <w:r w:rsidRPr="00C561E5">
        <w:rPr>
          <w:rStyle w:val="hps"/>
          <w:rFonts w:asciiTheme="minorHAnsi" w:hAnsiTheme="minorHAnsi" w:cstheme="minorHAnsi"/>
          <w:lang w:val="en-US"/>
        </w:rPr>
        <w:t>t</w:t>
      </w:r>
      <w:r w:rsidRPr="00C561E5">
        <w:rPr>
          <w:rStyle w:val="hps"/>
          <w:rFonts w:asciiTheme="minorHAnsi" w:hAnsiTheme="minorHAnsi" w:cstheme="minorHAnsi"/>
        </w:rPr>
        <w:t>o learning</w:t>
      </w:r>
      <w:r w:rsidRPr="00C561E5">
        <w:t xml:space="preserve">, adaptability </w:t>
      </w:r>
      <w:r w:rsidRPr="00C561E5">
        <w:rPr>
          <w:lang w:val="en-US"/>
        </w:rPr>
        <w:t>t</w:t>
      </w:r>
      <w:r w:rsidRPr="00C561E5">
        <w:t>o technological change, employee performance</w:t>
      </w:r>
    </w:p>
    <w:tbl>
      <w:tblPr>
        <w:tblStyle w:val="TableGrid"/>
        <w:tblW w:w="0" w:type="auto"/>
        <w:tblLook w:val="04A0" w:firstRow="1" w:lastRow="0" w:firstColumn="1" w:lastColumn="0" w:noHBand="0" w:noVBand="1"/>
      </w:tblPr>
      <w:tblGrid>
        <w:gridCol w:w="1026"/>
        <w:gridCol w:w="4830"/>
        <w:gridCol w:w="1156"/>
        <w:gridCol w:w="711"/>
        <w:gridCol w:w="621"/>
        <w:gridCol w:w="1006"/>
      </w:tblGrid>
      <w:tr w:rsidR="00917F33" w:rsidRPr="00D625FA" w14:paraId="6383462F" w14:textId="77777777" w:rsidTr="000D3381">
        <w:trPr>
          <w:trHeight w:val="427"/>
        </w:trPr>
        <w:tc>
          <w:tcPr>
            <w:tcW w:w="0" w:type="auto"/>
            <w:vAlign w:val="center"/>
          </w:tcPr>
          <w:p w14:paraId="212A3720" w14:textId="77777777" w:rsidR="00917F33" w:rsidRPr="00656FA7" w:rsidRDefault="00917F33" w:rsidP="000D3381">
            <w:pPr>
              <w:pStyle w:val="Footer"/>
              <w:jc w:val="center"/>
              <w:rPr>
                <w:sz w:val="18"/>
                <w:szCs w:val="18"/>
              </w:rPr>
            </w:pPr>
            <w:r w:rsidRPr="00656FA7">
              <w:rPr>
                <w:rFonts w:eastAsia="SimSun"/>
                <w:sz w:val="18"/>
                <w:szCs w:val="18"/>
              </w:rPr>
              <w:t>Hypothesis</w:t>
            </w:r>
          </w:p>
        </w:tc>
        <w:tc>
          <w:tcPr>
            <w:tcW w:w="0" w:type="auto"/>
            <w:vAlign w:val="center"/>
            <w:hideMark/>
          </w:tcPr>
          <w:p w14:paraId="6B918304" w14:textId="77777777" w:rsidR="00917F33" w:rsidRPr="00656FA7" w:rsidRDefault="00917F33" w:rsidP="000D3381">
            <w:pPr>
              <w:pStyle w:val="Footer"/>
              <w:jc w:val="center"/>
              <w:rPr>
                <w:sz w:val="18"/>
                <w:szCs w:val="18"/>
              </w:rPr>
            </w:pPr>
          </w:p>
        </w:tc>
        <w:tc>
          <w:tcPr>
            <w:tcW w:w="0" w:type="auto"/>
            <w:vAlign w:val="center"/>
            <w:hideMark/>
          </w:tcPr>
          <w:p w14:paraId="485C19BA" w14:textId="77777777" w:rsidR="00917F33" w:rsidRPr="00656FA7" w:rsidRDefault="00917F33" w:rsidP="000D3381">
            <w:pPr>
              <w:autoSpaceDE w:val="0"/>
              <w:autoSpaceDN w:val="0"/>
              <w:adjustRightInd w:val="0"/>
              <w:jc w:val="center"/>
              <w:rPr>
                <w:rFonts w:eastAsia="SimSun"/>
                <w:sz w:val="18"/>
                <w:szCs w:val="18"/>
              </w:rPr>
            </w:pPr>
            <w:r w:rsidRPr="00656FA7">
              <w:rPr>
                <w:rFonts w:eastAsia="SimSun"/>
                <w:sz w:val="18"/>
                <w:szCs w:val="18"/>
              </w:rPr>
              <w:t>Standardized</w:t>
            </w:r>
          </w:p>
          <w:p w14:paraId="1053D65B" w14:textId="77777777" w:rsidR="00917F33" w:rsidRPr="00656FA7" w:rsidRDefault="00917F33" w:rsidP="000D3381">
            <w:pPr>
              <w:autoSpaceDE w:val="0"/>
              <w:autoSpaceDN w:val="0"/>
              <w:adjustRightInd w:val="0"/>
              <w:jc w:val="center"/>
              <w:rPr>
                <w:rFonts w:eastAsia="SimSun"/>
                <w:sz w:val="18"/>
                <w:szCs w:val="18"/>
              </w:rPr>
            </w:pPr>
            <w:r w:rsidRPr="00656FA7">
              <w:rPr>
                <w:rFonts w:eastAsia="SimSun"/>
                <w:sz w:val="18"/>
                <w:szCs w:val="18"/>
              </w:rPr>
              <w:t>path</w:t>
            </w:r>
          </w:p>
          <w:p w14:paraId="7B53161B" w14:textId="77777777" w:rsidR="00917F33" w:rsidRPr="00656FA7" w:rsidRDefault="00917F33" w:rsidP="000D3381">
            <w:pPr>
              <w:pStyle w:val="Footer"/>
              <w:jc w:val="center"/>
              <w:rPr>
                <w:sz w:val="18"/>
                <w:szCs w:val="18"/>
              </w:rPr>
            </w:pPr>
            <w:r w:rsidRPr="00656FA7">
              <w:rPr>
                <w:rFonts w:eastAsia="SimSun"/>
                <w:sz w:val="18"/>
                <w:szCs w:val="18"/>
              </w:rPr>
              <w:t>coefficients</w:t>
            </w:r>
          </w:p>
        </w:tc>
        <w:tc>
          <w:tcPr>
            <w:tcW w:w="0" w:type="auto"/>
            <w:vAlign w:val="center"/>
            <w:hideMark/>
          </w:tcPr>
          <w:p w14:paraId="3D83FABA" w14:textId="77777777" w:rsidR="00917F33" w:rsidRPr="00656FA7" w:rsidRDefault="00917F33" w:rsidP="000D3381">
            <w:pPr>
              <w:pStyle w:val="Footer"/>
              <w:jc w:val="center"/>
              <w:rPr>
                <w:sz w:val="18"/>
                <w:szCs w:val="18"/>
              </w:rPr>
            </w:pPr>
            <w:r w:rsidRPr="00656FA7">
              <w:rPr>
                <w:sz w:val="18"/>
                <w:szCs w:val="18"/>
              </w:rPr>
              <w:t>t value</w:t>
            </w:r>
          </w:p>
        </w:tc>
        <w:tc>
          <w:tcPr>
            <w:tcW w:w="0" w:type="auto"/>
            <w:vAlign w:val="center"/>
            <w:hideMark/>
          </w:tcPr>
          <w:p w14:paraId="0B368139" w14:textId="77777777" w:rsidR="00917F33" w:rsidRPr="00656FA7" w:rsidRDefault="00917F33" w:rsidP="000D3381">
            <w:pPr>
              <w:pStyle w:val="Footer"/>
              <w:jc w:val="center"/>
              <w:rPr>
                <w:sz w:val="18"/>
                <w:szCs w:val="18"/>
              </w:rPr>
            </w:pPr>
            <w:r w:rsidRPr="00656FA7">
              <w:rPr>
                <w:sz w:val="18"/>
                <w:szCs w:val="18"/>
              </w:rPr>
              <w:t>Prob.</w:t>
            </w:r>
          </w:p>
        </w:tc>
        <w:tc>
          <w:tcPr>
            <w:tcW w:w="1006" w:type="dxa"/>
            <w:vAlign w:val="center"/>
            <w:hideMark/>
          </w:tcPr>
          <w:p w14:paraId="45081E68" w14:textId="77777777" w:rsidR="00917F33" w:rsidRPr="00656FA7" w:rsidRDefault="00917F33" w:rsidP="000D3381">
            <w:pPr>
              <w:pStyle w:val="Footer"/>
              <w:jc w:val="center"/>
              <w:rPr>
                <w:sz w:val="18"/>
                <w:szCs w:val="18"/>
              </w:rPr>
            </w:pPr>
            <w:r>
              <w:rPr>
                <w:sz w:val="18"/>
                <w:szCs w:val="18"/>
              </w:rPr>
              <w:t>Resu</w:t>
            </w:r>
            <w:r w:rsidRPr="00656FA7">
              <w:rPr>
                <w:sz w:val="18"/>
                <w:szCs w:val="18"/>
              </w:rPr>
              <w:t>lt</w:t>
            </w:r>
          </w:p>
        </w:tc>
      </w:tr>
      <w:tr w:rsidR="00917F33" w:rsidRPr="00D625FA" w14:paraId="3E67DB11" w14:textId="77777777" w:rsidTr="000D3381">
        <w:trPr>
          <w:trHeight w:val="353"/>
        </w:trPr>
        <w:tc>
          <w:tcPr>
            <w:tcW w:w="0" w:type="auto"/>
            <w:vAlign w:val="center"/>
          </w:tcPr>
          <w:p w14:paraId="3E286113" w14:textId="77777777" w:rsidR="00917F33" w:rsidRPr="00656FA7" w:rsidRDefault="00917F33" w:rsidP="000D3381">
            <w:pPr>
              <w:pStyle w:val="Footer"/>
              <w:rPr>
                <w:sz w:val="18"/>
                <w:szCs w:val="18"/>
              </w:rPr>
            </w:pPr>
            <w:r w:rsidRPr="00656FA7">
              <w:rPr>
                <w:sz w:val="18"/>
                <w:szCs w:val="18"/>
              </w:rPr>
              <w:t>H1</w:t>
            </w:r>
          </w:p>
        </w:tc>
        <w:tc>
          <w:tcPr>
            <w:tcW w:w="0" w:type="auto"/>
            <w:vAlign w:val="center"/>
            <w:hideMark/>
          </w:tcPr>
          <w:p w14:paraId="2E20F43D" w14:textId="77777777" w:rsidR="00917F33" w:rsidRPr="00656FA7" w:rsidRDefault="00917F33" w:rsidP="000D3381">
            <w:pPr>
              <w:ind w:hanging="6"/>
              <w:rPr>
                <w:sz w:val="18"/>
                <w:szCs w:val="18"/>
              </w:rPr>
            </w:pPr>
            <w:r w:rsidRPr="00656FA7">
              <w:rPr>
                <w:sz w:val="18"/>
                <w:szCs w:val="18"/>
              </w:rPr>
              <w:t xml:space="preserve">Adaptability to technological change </w:t>
            </w:r>
            <w:r w:rsidRPr="00656FA7">
              <w:rPr>
                <w:sz w:val="18"/>
                <w:szCs w:val="18"/>
              </w:rPr>
              <w:sym w:font="Symbol" w:char="F0AE"/>
            </w:r>
            <w:r w:rsidRPr="00656FA7">
              <w:rPr>
                <w:sz w:val="18"/>
                <w:szCs w:val="18"/>
              </w:rPr>
              <w:t xml:space="preserve"> Employee performance</w:t>
            </w:r>
          </w:p>
        </w:tc>
        <w:tc>
          <w:tcPr>
            <w:tcW w:w="0" w:type="auto"/>
            <w:vAlign w:val="center"/>
          </w:tcPr>
          <w:p w14:paraId="414695F0" w14:textId="77777777" w:rsidR="00917F33" w:rsidRPr="00656FA7" w:rsidRDefault="00917F33" w:rsidP="000D3381">
            <w:pPr>
              <w:jc w:val="center"/>
              <w:rPr>
                <w:sz w:val="18"/>
                <w:szCs w:val="18"/>
              </w:rPr>
            </w:pPr>
            <w:r w:rsidRPr="00656FA7">
              <w:rPr>
                <w:sz w:val="18"/>
                <w:szCs w:val="18"/>
              </w:rPr>
              <w:t>.380</w:t>
            </w:r>
          </w:p>
        </w:tc>
        <w:tc>
          <w:tcPr>
            <w:tcW w:w="0" w:type="auto"/>
            <w:vAlign w:val="center"/>
          </w:tcPr>
          <w:p w14:paraId="4BF2E07E" w14:textId="77777777" w:rsidR="00917F33" w:rsidRPr="00656FA7" w:rsidRDefault="00917F33" w:rsidP="000D3381">
            <w:pPr>
              <w:jc w:val="center"/>
              <w:rPr>
                <w:sz w:val="18"/>
                <w:szCs w:val="18"/>
              </w:rPr>
            </w:pPr>
            <w:r w:rsidRPr="00656FA7">
              <w:rPr>
                <w:sz w:val="18"/>
                <w:szCs w:val="18"/>
              </w:rPr>
              <w:t>2.762</w:t>
            </w:r>
          </w:p>
        </w:tc>
        <w:tc>
          <w:tcPr>
            <w:tcW w:w="0" w:type="auto"/>
            <w:vAlign w:val="center"/>
          </w:tcPr>
          <w:p w14:paraId="3F9B267A" w14:textId="77777777" w:rsidR="00917F33" w:rsidRPr="00656FA7" w:rsidRDefault="00917F33" w:rsidP="000D3381">
            <w:pPr>
              <w:jc w:val="center"/>
              <w:rPr>
                <w:sz w:val="18"/>
                <w:szCs w:val="18"/>
              </w:rPr>
            </w:pPr>
            <w:r w:rsidRPr="00656FA7">
              <w:rPr>
                <w:sz w:val="18"/>
                <w:szCs w:val="18"/>
              </w:rPr>
              <w:t>0.006</w:t>
            </w:r>
          </w:p>
        </w:tc>
        <w:tc>
          <w:tcPr>
            <w:tcW w:w="1006" w:type="dxa"/>
            <w:vAlign w:val="center"/>
            <w:hideMark/>
          </w:tcPr>
          <w:p w14:paraId="3E1FF4F5" w14:textId="77777777" w:rsidR="00917F33" w:rsidRPr="00656FA7" w:rsidRDefault="00917F33" w:rsidP="000D3381">
            <w:pPr>
              <w:pStyle w:val="Footer"/>
              <w:jc w:val="center"/>
              <w:rPr>
                <w:rFonts w:eastAsia="SimSun"/>
                <w:sz w:val="18"/>
                <w:szCs w:val="18"/>
              </w:rPr>
            </w:pPr>
          </w:p>
          <w:p w14:paraId="6B051E4A" w14:textId="77777777" w:rsidR="00917F33" w:rsidRPr="00656FA7" w:rsidRDefault="00917F33" w:rsidP="000D3381">
            <w:pPr>
              <w:pStyle w:val="Footer"/>
              <w:jc w:val="center"/>
              <w:rPr>
                <w:i/>
                <w:sz w:val="18"/>
                <w:szCs w:val="18"/>
              </w:rPr>
            </w:pPr>
            <w:r w:rsidRPr="00656FA7">
              <w:rPr>
                <w:rFonts w:eastAsia="SimSun"/>
                <w:sz w:val="18"/>
                <w:szCs w:val="18"/>
              </w:rPr>
              <w:t>Significant</w:t>
            </w:r>
          </w:p>
        </w:tc>
      </w:tr>
      <w:tr w:rsidR="00917F33" w:rsidRPr="00D625FA" w14:paraId="6662A067" w14:textId="77777777" w:rsidTr="000D3381">
        <w:trPr>
          <w:trHeight w:val="345"/>
        </w:trPr>
        <w:tc>
          <w:tcPr>
            <w:tcW w:w="0" w:type="auto"/>
            <w:vAlign w:val="center"/>
          </w:tcPr>
          <w:p w14:paraId="314C0174" w14:textId="77777777" w:rsidR="00917F33" w:rsidRPr="00656FA7" w:rsidRDefault="00917F33" w:rsidP="000D3381">
            <w:pPr>
              <w:pStyle w:val="Footer"/>
              <w:rPr>
                <w:sz w:val="18"/>
                <w:szCs w:val="18"/>
              </w:rPr>
            </w:pPr>
            <w:r w:rsidRPr="00656FA7">
              <w:rPr>
                <w:sz w:val="18"/>
                <w:szCs w:val="18"/>
              </w:rPr>
              <w:t>H2</w:t>
            </w:r>
          </w:p>
        </w:tc>
        <w:tc>
          <w:tcPr>
            <w:tcW w:w="0" w:type="auto"/>
            <w:vAlign w:val="center"/>
          </w:tcPr>
          <w:p w14:paraId="4BE096A8" w14:textId="77777777" w:rsidR="00917F33" w:rsidRPr="00656FA7" w:rsidRDefault="00917F33" w:rsidP="000D3381">
            <w:pPr>
              <w:pStyle w:val="Footer"/>
              <w:rPr>
                <w:rStyle w:val="hps"/>
                <w:sz w:val="18"/>
                <w:szCs w:val="18"/>
              </w:rPr>
            </w:pPr>
            <w:r w:rsidRPr="00656FA7">
              <w:rPr>
                <w:rStyle w:val="hps"/>
                <w:sz w:val="18"/>
                <w:szCs w:val="18"/>
              </w:rPr>
              <w:t xml:space="preserve">Pro-commitment to learning </w:t>
            </w:r>
            <w:r w:rsidRPr="00656FA7">
              <w:rPr>
                <w:sz w:val="18"/>
                <w:szCs w:val="18"/>
              </w:rPr>
              <w:sym w:font="Symbol" w:char="F0AE"/>
            </w:r>
            <w:r w:rsidRPr="00656FA7">
              <w:rPr>
                <w:sz w:val="18"/>
                <w:szCs w:val="18"/>
              </w:rPr>
              <w:t>Adaptability to technological change</w:t>
            </w:r>
          </w:p>
        </w:tc>
        <w:tc>
          <w:tcPr>
            <w:tcW w:w="0" w:type="auto"/>
            <w:vAlign w:val="center"/>
          </w:tcPr>
          <w:p w14:paraId="02008ADE" w14:textId="77777777" w:rsidR="00917F33" w:rsidRPr="00656FA7" w:rsidRDefault="00917F33" w:rsidP="000D3381">
            <w:pPr>
              <w:jc w:val="center"/>
              <w:rPr>
                <w:sz w:val="18"/>
                <w:szCs w:val="18"/>
              </w:rPr>
            </w:pPr>
            <w:r w:rsidRPr="00656FA7">
              <w:rPr>
                <w:sz w:val="18"/>
                <w:szCs w:val="18"/>
              </w:rPr>
              <w:t>.378</w:t>
            </w:r>
          </w:p>
        </w:tc>
        <w:tc>
          <w:tcPr>
            <w:tcW w:w="0" w:type="auto"/>
            <w:vAlign w:val="center"/>
          </w:tcPr>
          <w:p w14:paraId="69DC2656" w14:textId="77777777" w:rsidR="00917F33" w:rsidRPr="00656FA7" w:rsidRDefault="00917F33" w:rsidP="000D3381">
            <w:pPr>
              <w:jc w:val="center"/>
              <w:rPr>
                <w:sz w:val="18"/>
                <w:szCs w:val="18"/>
              </w:rPr>
            </w:pPr>
            <w:r w:rsidRPr="00656FA7">
              <w:rPr>
                <w:sz w:val="18"/>
                <w:szCs w:val="18"/>
              </w:rPr>
              <w:t>4.091</w:t>
            </w:r>
          </w:p>
        </w:tc>
        <w:tc>
          <w:tcPr>
            <w:tcW w:w="0" w:type="auto"/>
            <w:vAlign w:val="center"/>
          </w:tcPr>
          <w:p w14:paraId="3DB79A38" w14:textId="77777777" w:rsidR="00917F33" w:rsidRPr="00656FA7" w:rsidRDefault="00917F33" w:rsidP="000D3381">
            <w:pPr>
              <w:jc w:val="center"/>
              <w:rPr>
                <w:sz w:val="18"/>
                <w:szCs w:val="18"/>
              </w:rPr>
            </w:pPr>
            <w:r w:rsidRPr="00656FA7">
              <w:rPr>
                <w:sz w:val="18"/>
                <w:szCs w:val="18"/>
              </w:rPr>
              <w:t>***</w:t>
            </w:r>
          </w:p>
        </w:tc>
        <w:tc>
          <w:tcPr>
            <w:tcW w:w="1006" w:type="dxa"/>
            <w:vAlign w:val="center"/>
          </w:tcPr>
          <w:p w14:paraId="47A4332E" w14:textId="77777777" w:rsidR="00917F33" w:rsidRPr="00656FA7" w:rsidRDefault="00917F33" w:rsidP="000D3381">
            <w:pPr>
              <w:jc w:val="center"/>
              <w:rPr>
                <w:rFonts w:eastAsia="SimSun"/>
                <w:sz w:val="18"/>
                <w:szCs w:val="18"/>
              </w:rPr>
            </w:pPr>
          </w:p>
          <w:p w14:paraId="014C4794" w14:textId="77777777" w:rsidR="00917F33" w:rsidRPr="00656FA7" w:rsidRDefault="00917F33" w:rsidP="000D3381">
            <w:pPr>
              <w:jc w:val="center"/>
              <w:rPr>
                <w:rFonts w:eastAsia="SimSun"/>
                <w:sz w:val="18"/>
                <w:szCs w:val="18"/>
              </w:rPr>
            </w:pPr>
            <w:r w:rsidRPr="00656FA7">
              <w:rPr>
                <w:rFonts w:eastAsia="SimSun"/>
                <w:sz w:val="18"/>
                <w:szCs w:val="18"/>
              </w:rPr>
              <w:t>Significant</w:t>
            </w:r>
          </w:p>
        </w:tc>
      </w:tr>
      <w:tr w:rsidR="00917F33" w:rsidRPr="00D625FA" w14:paraId="31A0B354" w14:textId="77777777" w:rsidTr="000D3381">
        <w:trPr>
          <w:trHeight w:val="479"/>
        </w:trPr>
        <w:tc>
          <w:tcPr>
            <w:tcW w:w="0" w:type="auto"/>
            <w:vAlign w:val="center"/>
          </w:tcPr>
          <w:p w14:paraId="70B06CA1" w14:textId="77777777" w:rsidR="00917F33" w:rsidRPr="00656FA7" w:rsidRDefault="00917F33" w:rsidP="000D3381">
            <w:pPr>
              <w:pStyle w:val="Footer"/>
              <w:rPr>
                <w:sz w:val="18"/>
                <w:szCs w:val="18"/>
              </w:rPr>
            </w:pPr>
            <w:r w:rsidRPr="00656FA7">
              <w:rPr>
                <w:sz w:val="18"/>
                <w:szCs w:val="18"/>
              </w:rPr>
              <w:t>H3</w:t>
            </w:r>
          </w:p>
        </w:tc>
        <w:tc>
          <w:tcPr>
            <w:tcW w:w="0" w:type="auto"/>
            <w:vAlign w:val="center"/>
          </w:tcPr>
          <w:p w14:paraId="3B44404B" w14:textId="77777777" w:rsidR="00917F33" w:rsidRPr="00656FA7" w:rsidRDefault="00917F33" w:rsidP="000D3381">
            <w:pPr>
              <w:pStyle w:val="Footer"/>
              <w:rPr>
                <w:sz w:val="18"/>
                <w:szCs w:val="18"/>
              </w:rPr>
            </w:pPr>
            <w:r w:rsidRPr="00656FA7">
              <w:rPr>
                <w:rStyle w:val="hps"/>
                <w:sz w:val="18"/>
                <w:szCs w:val="18"/>
              </w:rPr>
              <w:t xml:space="preserve">Pro-commitment to learning </w:t>
            </w:r>
            <w:r w:rsidRPr="00656FA7">
              <w:rPr>
                <w:sz w:val="18"/>
                <w:szCs w:val="18"/>
              </w:rPr>
              <w:sym w:font="Symbol" w:char="F0AE"/>
            </w:r>
            <w:r w:rsidRPr="00656FA7">
              <w:rPr>
                <w:sz w:val="18"/>
                <w:szCs w:val="18"/>
              </w:rPr>
              <w:t xml:space="preserve"> Employee performance</w:t>
            </w:r>
          </w:p>
        </w:tc>
        <w:tc>
          <w:tcPr>
            <w:tcW w:w="0" w:type="auto"/>
            <w:vAlign w:val="center"/>
          </w:tcPr>
          <w:p w14:paraId="446354FD" w14:textId="77777777" w:rsidR="00917F33" w:rsidRPr="00656FA7" w:rsidRDefault="00917F33" w:rsidP="000D3381">
            <w:pPr>
              <w:jc w:val="center"/>
              <w:rPr>
                <w:sz w:val="18"/>
                <w:szCs w:val="18"/>
              </w:rPr>
            </w:pPr>
            <w:r w:rsidRPr="00656FA7">
              <w:rPr>
                <w:sz w:val="18"/>
                <w:szCs w:val="18"/>
              </w:rPr>
              <w:t>.637</w:t>
            </w:r>
          </w:p>
        </w:tc>
        <w:tc>
          <w:tcPr>
            <w:tcW w:w="0" w:type="auto"/>
            <w:vAlign w:val="center"/>
          </w:tcPr>
          <w:p w14:paraId="31C03C49" w14:textId="77777777" w:rsidR="00917F33" w:rsidRPr="00656FA7" w:rsidRDefault="00917F33" w:rsidP="000D3381">
            <w:pPr>
              <w:jc w:val="center"/>
              <w:rPr>
                <w:sz w:val="18"/>
                <w:szCs w:val="18"/>
              </w:rPr>
            </w:pPr>
            <w:r w:rsidRPr="00656FA7">
              <w:rPr>
                <w:sz w:val="18"/>
                <w:szCs w:val="18"/>
              </w:rPr>
              <w:t>5.978</w:t>
            </w:r>
          </w:p>
        </w:tc>
        <w:tc>
          <w:tcPr>
            <w:tcW w:w="0" w:type="auto"/>
            <w:vAlign w:val="center"/>
          </w:tcPr>
          <w:p w14:paraId="36D59636" w14:textId="77777777" w:rsidR="00917F33" w:rsidRPr="00656FA7" w:rsidRDefault="00917F33" w:rsidP="000D3381">
            <w:pPr>
              <w:jc w:val="center"/>
              <w:rPr>
                <w:sz w:val="18"/>
                <w:szCs w:val="18"/>
              </w:rPr>
            </w:pPr>
            <w:r w:rsidRPr="00656FA7">
              <w:rPr>
                <w:sz w:val="18"/>
                <w:szCs w:val="18"/>
              </w:rPr>
              <w:t>***</w:t>
            </w:r>
          </w:p>
        </w:tc>
        <w:tc>
          <w:tcPr>
            <w:tcW w:w="1006" w:type="dxa"/>
            <w:vAlign w:val="center"/>
          </w:tcPr>
          <w:p w14:paraId="3AF0595A" w14:textId="77777777" w:rsidR="00917F33" w:rsidRPr="00656FA7" w:rsidRDefault="00917F33" w:rsidP="000D3381">
            <w:pPr>
              <w:jc w:val="center"/>
              <w:rPr>
                <w:i/>
                <w:sz w:val="18"/>
                <w:szCs w:val="18"/>
              </w:rPr>
            </w:pPr>
            <w:r w:rsidRPr="00656FA7">
              <w:rPr>
                <w:rFonts w:eastAsia="SimSun"/>
                <w:sz w:val="18"/>
                <w:szCs w:val="18"/>
              </w:rPr>
              <w:t>Significant</w:t>
            </w:r>
          </w:p>
        </w:tc>
      </w:tr>
      <w:tr w:rsidR="00917F33" w:rsidRPr="00D625FA" w14:paraId="1C96DB78" w14:textId="77777777" w:rsidTr="000D3381">
        <w:trPr>
          <w:trHeight w:val="415"/>
        </w:trPr>
        <w:tc>
          <w:tcPr>
            <w:tcW w:w="0" w:type="auto"/>
            <w:vAlign w:val="center"/>
          </w:tcPr>
          <w:p w14:paraId="7D0C6AFD" w14:textId="77777777" w:rsidR="00917F33" w:rsidRPr="00656FA7" w:rsidRDefault="00917F33" w:rsidP="000D3381">
            <w:pPr>
              <w:pStyle w:val="Footer"/>
              <w:rPr>
                <w:sz w:val="18"/>
                <w:szCs w:val="18"/>
              </w:rPr>
            </w:pPr>
            <w:r w:rsidRPr="00656FA7">
              <w:rPr>
                <w:sz w:val="18"/>
                <w:szCs w:val="18"/>
              </w:rPr>
              <w:t>H4</w:t>
            </w:r>
          </w:p>
        </w:tc>
        <w:tc>
          <w:tcPr>
            <w:tcW w:w="0" w:type="auto"/>
            <w:vAlign w:val="center"/>
          </w:tcPr>
          <w:p w14:paraId="60716511" w14:textId="77777777" w:rsidR="00917F33" w:rsidRPr="00656FA7" w:rsidRDefault="00917F33" w:rsidP="000D3381">
            <w:pPr>
              <w:rPr>
                <w:sz w:val="18"/>
                <w:szCs w:val="18"/>
              </w:rPr>
            </w:pPr>
            <w:r w:rsidRPr="00656FA7">
              <w:rPr>
                <w:bCs/>
                <w:sz w:val="18"/>
                <w:szCs w:val="18"/>
              </w:rPr>
              <w:t xml:space="preserve">Professional experience portfolio </w:t>
            </w:r>
            <w:r w:rsidRPr="00656FA7">
              <w:rPr>
                <w:sz w:val="18"/>
                <w:szCs w:val="18"/>
              </w:rPr>
              <w:sym w:font="Symbol" w:char="F0AE"/>
            </w:r>
            <w:r w:rsidRPr="00656FA7">
              <w:rPr>
                <w:sz w:val="18"/>
                <w:szCs w:val="18"/>
              </w:rPr>
              <w:t>Adaptability  to technological change</w:t>
            </w:r>
          </w:p>
        </w:tc>
        <w:tc>
          <w:tcPr>
            <w:tcW w:w="0" w:type="auto"/>
            <w:vAlign w:val="center"/>
          </w:tcPr>
          <w:p w14:paraId="793F326F" w14:textId="77777777" w:rsidR="00917F33" w:rsidRPr="00656FA7" w:rsidRDefault="00917F33" w:rsidP="000D3381">
            <w:pPr>
              <w:jc w:val="center"/>
              <w:rPr>
                <w:sz w:val="18"/>
                <w:szCs w:val="18"/>
              </w:rPr>
            </w:pPr>
            <w:r w:rsidRPr="00656FA7">
              <w:rPr>
                <w:sz w:val="18"/>
                <w:szCs w:val="18"/>
              </w:rPr>
              <w:t>.510</w:t>
            </w:r>
          </w:p>
        </w:tc>
        <w:tc>
          <w:tcPr>
            <w:tcW w:w="0" w:type="auto"/>
            <w:vAlign w:val="center"/>
          </w:tcPr>
          <w:p w14:paraId="087ED6CC" w14:textId="77777777" w:rsidR="00917F33" w:rsidRPr="00656FA7" w:rsidRDefault="00917F33" w:rsidP="000D3381">
            <w:pPr>
              <w:jc w:val="center"/>
              <w:rPr>
                <w:sz w:val="18"/>
                <w:szCs w:val="18"/>
              </w:rPr>
            </w:pPr>
            <w:r w:rsidRPr="00656FA7">
              <w:rPr>
                <w:sz w:val="18"/>
                <w:szCs w:val="18"/>
              </w:rPr>
              <w:t>5.273</w:t>
            </w:r>
          </w:p>
        </w:tc>
        <w:tc>
          <w:tcPr>
            <w:tcW w:w="0" w:type="auto"/>
            <w:vAlign w:val="center"/>
          </w:tcPr>
          <w:p w14:paraId="0502F700" w14:textId="77777777" w:rsidR="00917F33" w:rsidRPr="00656FA7" w:rsidRDefault="00917F33" w:rsidP="000D3381">
            <w:pPr>
              <w:jc w:val="center"/>
              <w:rPr>
                <w:sz w:val="18"/>
                <w:szCs w:val="18"/>
              </w:rPr>
            </w:pPr>
            <w:r w:rsidRPr="00656FA7">
              <w:rPr>
                <w:sz w:val="18"/>
                <w:szCs w:val="18"/>
              </w:rPr>
              <w:t>***</w:t>
            </w:r>
          </w:p>
        </w:tc>
        <w:tc>
          <w:tcPr>
            <w:tcW w:w="1006" w:type="dxa"/>
            <w:vAlign w:val="center"/>
          </w:tcPr>
          <w:p w14:paraId="5DCA78E4" w14:textId="77777777" w:rsidR="00917F33" w:rsidRPr="00656FA7" w:rsidRDefault="00917F33" w:rsidP="000D3381">
            <w:pPr>
              <w:pStyle w:val="Footer"/>
              <w:jc w:val="center"/>
              <w:rPr>
                <w:rFonts w:eastAsia="SimSun"/>
                <w:sz w:val="18"/>
                <w:szCs w:val="18"/>
              </w:rPr>
            </w:pPr>
          </w:p>
          <w:p w14:paraId="3B8C9E04" w14:textId="77777777" w:rsidR="00917F33" w:rsidRPr="00656FA7" w:rsidRDefault="00917F33" w:rsidP="000D3381">
            <w:pPr>
              <w:pStyle w:val="Footer"/>
              <w:jc w:val="center"/>
              <w:rPr>
                <w:rFonts w:eastAsia="SimSun"/>
                <w:sz w:val="18"/>
                <w:szCs w:val="18"/>
              </w:rPr>
            </w:pPr>
            <w:r w:rsidRPr="00656FA7">
              <w:rPr>
                <w:rFonts w:eastAsia="SimSun"/>
                <w:sz w:val="18"/>
                <w:szCs w:val="18"/>
              </w:rPr>
              <w:t>Significant</w:t>
            </w:r>
          </w:p>
        </w:tc>
      </w:tr>
      <w:tr w:rsidR="00917F33" w:rsidRPr="00D625FA" w14:paraId="68A4BC53" w14:textId="77777777" w:rsidTr="000D3381">
        <w:trPr>
          <w:trHeight w:val="399"/>
        </w:trPr>
        <w:tc>
          <w:tcPr>
            <w:tcW w:w="0" w:type="auto"/>
            <w:vAlign w:val="center"/>
          </w:tcPr>
          <w:p w14:paraId="626E402A" w14:textId="77777777" w:rsidR="00917F33" w:rsidRPr="00656FA7" w:rsidRDefault="00917F33" w:rsidP="000D3381">
            <w:pPr>
              <w:pStyle w:val="Footer"/>
              <w:rPr>
                <w:sz w:val="18"/>
                <w:szCs w:val="18"/>
              </w:rPr>
            </w:pPr>
            <w:r w:rsidRPr="00656FA7">
              <w:rPr>
                <w:sz w:val="18"/>
                <w:szCs w:val="18"/>
              </w:rPr>
              <w:t>H5</w:t>
            </w:r>
          </w:p>
        </w:tc>
        <w:tc>
          <w:tcPr>
            <w:tcW w:w="0" w:type="auto"/>
            <w:vAlign w:val="center"/>
          </w:tcPr>
          <w:p w14:paraId="3AA08697" w14:textId="77777777" w:rsidR="00917F33" w:rsidRPr="00656FA7" w:rsidRDefault="00917F33" w:rsidP="000D3381">
            <w:pPr>
              <w:pStyle w:val="Footer"/>
              <w:rPr>
                <w:sz w:val="18"/>
                <w:szCs w:val="18"/>
              </w:rPr>
            </w:pPr>
            <w:r w:rsidRPr="00656FA7">
              <w:rPr>
                <w:bCs/>
                <w:sz w:val="18"/>
                <w:szCs w:val="18"/>
              </w:rPr>
              <w:t xml:space="preserve">Professional experience portfolio </w:t>
            </w:r>
            <w:r w:rsidRPr="00656FA7">
              <w:rPr>
                <w:sz w:val="18"/>
                <w:szCs w:val="18"/>
              </w:rPr>
              <w:sym w:font="Symbol" w:char="F0AE"/>
            </w:r>
            <w:r w:rsidRPr="00656FA7">
              <w:rPr>
                <w:sz w:val="18"/>
                <w:szCs w:val="18"/>
              </w:rPr>
              <w:t>Pro-</w:t>
            </w:r>
            <w:r w:rsidRPr="00656FA7">
              <w:rPr>
                <w:rStyle w:val="hps"/>
                <w:sz w:val="18"/>
                <w:szCs w:val="18"/>
              </w:rPr>
              <w:t>commitment to learning</w:t>
            </w:r>
          </w:p>
        </w:tc>
        <w:tc>
          <w:tcPr>
            <w:tcW w:w="0" w:type="auto"/>
            <w:vAlign w:val="center"/>
          </w:tcPr>
          <w:p w14:paraId="3B5827F2" w14:textId="77777777" w:rsidR="00917F33" w:rsidRPr="00656FA7" w:rsidRDefault="00917F33" w:rsidP="000D3381">
            <w:pPr>
              <w:jc w:val="center"/>
              <w:rPr>
                <w:sz w:val="18"/>
                <w:szCs w:val="18"/>
              </w:rPr>
            </w:pPr>
            <w:r w:rsidRPr="00656FA7">
              <w:rPr>
                <w:sz w:val="18"/>
                <w:szCs w:val="18"/>
              </w:rPr>
              <w:t>0.842</w:t>
            </w:r>
          </w:p>
        </w:tc>
        <w:tc>
          <w:tcPr>
            <w:tcW w:w="0" w:type="auto"/>
            <w:vAlign w:val="center"/>
          </w:tcPr>
          <w:p w14:paraId="400147A1" w14:textId="77777777" w:rsidR="00917F33" w:rsidRPr="00656FA7" w:rsidRDefault="00917F33" w:rsidP="000D3381">
            <w:pPr>
              <w:jc w:val="center"/>
              <w:rPr>
                <w:sz w:val="18"/>
                <w:szCs w:val="18"/>
              </w:rPr>
            </w:pPr>
            <w:r w:rsidRPr="00656FA7">
              <w:rPr>
                <w:sz w:val="18"/>
                <w:szCs w:val="18"/>
              </w:rPr>
              <w:t>11,030</w:t>
            </w:r>
          </w:p>
        </w:tc>
        <w:tc>
          <w:tcPr>
            <w:tcW w:w="0" w:type="auto"/>
            <w:vAlign w:val="center"/>
          </w:tcPr>
          <w:p w14:paraId="0C25C7BA" w14:textId="77777777" w:rsidR="00917F33" w:rsidRPr="00656FA7" w:rsidRDefault="00917F33" w:rsidP="000D3381">
            <w:pPr>
              <w:jc w:val="center"/>
              <w:rPr>
                <w:sz w:val="18"/>
                <w:szCs w:val="18"/>
              </w:rPr>
            </w:pPr>
            <w:r w:rsidRPr="00656FA7">
              <w:rPr>
                <w:sz w:val="18"/>
                <w:szCs w:val="18"/>
              </w:rPr>
              <w:t>***</w:t>
            </w:r>
          </w:p>
        </w:tc>
        <w:tc>
          <w:tcPr>
            <w:tcW w:w="1006" w:type="dxa"/>
            <w:vAlign w:val="center"/>
            <w:hideMark/>
          </w:tcPr>
          <w:p w14:paraId="206BF50D" w14:textId="77777777" w:rsidR="00917F33" w:rsidRPr="00656FA7" w:rsidRDefault="00917F33" w:rsidP="000D3381">
            <w:pPr>
              <w:jc w:val="center"/>
              <w:rPr>
                <w:i/>
                <w:sz w:val="18"/>
                <w:szCs w:val="18"/>
              </w:rPr>
            </w:pPr>
            <w:r w:rsidRPr="00656FA7">
              <w:rPr>
                <w:rFonts w:eastAsia="SimSun"/>
                <w:sz w:val="18"/>
                <w:szCs w:val="18"/>
              </w:rPr>
              <w:t>Significant</w:t>
            </w:r>
          </w:p>
        </w:tc>
      </w:tr>
      <w:tr w:rsidR="00917F33" w:rsidRPr="00D625FA" w14:paraId="32CF1DE8" w14:textId="77777777" w:rsidTr="000D3381">
        <w:trPr>
          <w:trHeight w:val="399"/>
        </w:trPr>
        <w:tc>
          <w:tcPr>
            <w:tcW w:w="0" w:type="auto"/>
            <w:vAlign w:val="center"/>
          </w:tcPr>
          <w:p w14:paraId="12D9BCBB" w14:textId="77777777" w:rsidR="00917F33" w:rsidRPr="00656FA7" w:rsidRDefault="00917F33" w:rsidP="000D3381">
            <w:pPr>
              <w:pStyle w:val="Footer"/>
              <w:rPr>
                <w:sz w:val="18"/>
                <w:szCs w:val="18"/>
              </w:rPr>
            </w:pPr>
            <w:r w:rsidRPr="00656FA7">
              <w:rPr>
                <w:sz w:val="18"/>
                <w:szCs w:val="18"/>
              </w:rPr>
              <w:t>H6</w:t>
            </w:r>
          </w:p>
        </w:tc>
        <w:tc>
          <w:tcPr>
            <w:tcW w:w="0" w:type="auto"/>
            <w:vAlign w:val="center"/>
          </w:tcPr>
          <w:p w14:paraId="462A2015" w14:textId="77777777" w:rsidR="00917F33" w:rsidRPr="00656FA7" w:rsidRDefault="00917F33" w:rsidP="000D3381">
            <w:pPr>
              <w:pStyle w:val="Footer"/>
              <w:rPr>
                <w:bCs/>
                <w:sz w:val="18"/>
                <w:szCs w:val="18"/>
              </w:rPr>
            </w:pPr>
            <w:r w:rsidRPr="00656FA7">
              <w:rPr>
                <w:bCs/>
                <w:sz w:val="18"/>
                <w:szCs w:val="18"/>
              </w:rPr>
              <w:t xml:space="preserve">Professional experience portfolio </w:t>
            </w:r>
            <w:r w:rsidRPr="00656FA7">
              <w:rPr>
                <w:sz w:val="18"/>
                <w:szCs w:val="18"/>
              </w:rPr>
              <w:sym w:font="Symbol" w:char="F0AE"/>
            </w:r>
            <w:r w:rsidRPr="00656FA7">
              <w:rPr>
                <w:sz w:val="18"/>
                <w:szCs w:val="18"/>
                <w:lang w:val="en-US"/>
              </w:rPr>
              <w:t xml:space="preserve"> Employee </w:t>
            </w:r>
            <w:r w:rsidRPr="00656FA7">
              <w:rPr>
                <w:sz w:val="18"/>
                <w:szCs w:val="18"/>
              </w:rPr>
              <w:t>p</w:t>
            </w:r>
            <w:r w:rsidRPr="00656FA7">
              <w:rPr>
                <w:sz w:val="18"/>
                <w:szCs w:val="18"/>
                <w:lang w:val="en-US"/>
              </w:rPr>
              <w:t>erformance</w:t>
            </w:r>
          </w:p>
        </w:tc>
        <w:tc>
          <w:tcPr>
            <w:tcW w:w="0" w:type="auto"/>
            <w:vAlign w:val="center"/>
          </w:tcPr>
          <w:p w14:paraId="591DB0C6" w14:textId="77777777" w:rsidR="00917F33" w:rsidRPr="00656FA7" w:rsidRDefault="00917F33" w:rsidP="000D3381">
            <w:pPr>
              <w:jc w:val="center"/>
              <w:rPr>
                <w:sz w:val="18"/>
                <w:szCs w:val="18"/>
              </w:rPr>
            </w:pPr>
            <w:r w:rsidRPr="00656FA7">
              <w:rPr>
                <w:sz w:val="18"/>
                <w:szCs w:val="18"/>
              </w:rPr>
              <w:t>-. 020</w:t>
            </w:r>
          </w:p>
        </w:tc>
        <w:tc>
          <w:tcPr>
            <w:tcW w:w="0" w:type="auto"/>
            <w:vAlign w:val="center"/>
          </w:tcPr>
          <w:p w14:paraId="63139264" w14:textId="77777777" w:rsidR="00917F33" w:rsidRPr="00656FA7" w:rsidRDefault="00917F33" w:rsidP="000D3381">
            <w:pPr>
              <w:jc w:val="center"/>
              <w:rPr>
                <w:sz w:val="18"/>
                <w:szCs w:val="18"/>
              </w:rPr>
            </w:pPr>
            <w:r w:rsidRPr="00656FA7">
              <w:rPr>
                <w:sz w:val="18"/>
                <w:szCs w:val="18"/>
              </w:rPr>
              <w:t>-0.173</w:t>
            </w:r>
          </w:p>
        </w:tc>
        <w:tc>
          <w:tcPr>
            <w:tcW w:w="0" w:type="auto"/>
            <w:vAlign w:val="center"/>
          </w:tcPr>
          <w:p w14:paraId="00E3E6D7" w14:textId="77777777" w:rsidR="00917F33" w:rsidRPr="00656FA7" w:rsidRDefault="00917F33" w:rsidP="000D3381">
            <w:pPr>
              <w:jc w:val="center"/>
              <w:rPr>
                <w:sz w:val="18"/>
                <w:szCs w:val="18"/>
              </w:rPr>
            </w:pPr>
            <w:r w:rsidRPr="00656FA7">
              <w:rPr>
                <w:sz w:val="18"/>
                <w:szCs w:val="18"/>
              </w:rPr>
              <w:t>0.863</w:t>
            </w:r>
          </w:p>
        </w:tc>
        <w:tc>
          <w:tcPr>
            <w:tcW w:w="1006" w:type="dxa"/>
            <w:vAlign w:val="center"/>
          </w:tcPr>
          <w:p w14:paraId="421B77C8" w14:textId="77777777" w:rsidR="00917F33" w:rsidRPr="00656FA7" w:rsidRDefault="00917F33" w:rsidP="000D3381">
            <w:pPr>
              <w:jc w:val="center"/>
              <w:rPr>
                <w:rFonts w:eastAsia="SimSun"/>
                <w:sz w:val="18"/>
                <w:szCs w:val="18"/>
                <w:lang w:val="en-AU"/>
              </w:rPr>
            </w:pPr>
            <w:r w:rsidRPr="00656FA7">
              <w:rPr>
                <w:rFonts w:eastAsia="SimSun"/>
                <w:sz w:val="18"/>
                <w:szCs w:val="18"/>
                <w:lang w:val="en-AU"/>
              </w:rPr>
              <w:t>Not</w:t>
            </w:r>
            <w:r w:rsidRPr="00656FA7">
              <w:rPr>
                <w:rFonts w:eastAsia="SimSun"/>
                <w:sz w:val="18"/>
                <w:szCs w:val="18"/>
              </w:rPr>
              <w:t xml:space="preserve"> signifi</w:t>
            </w:r>
            <w:r w:rsidRPr="00656FA7">
              <w:rPr>
                <w:rFonts w:eastAsia="SimSun"/>
                <w:sz w:val="18"/>
                <w:szCs w:val="18"/>
                <w:lang w:val="en-AU"/>
              </w:rPr>
              <w:t>c</w:t>
            </w:r>
            <w:r w:rsidRPr="00656FA7">
              <w:rPr>
                <w:rFonts w:eastAsia="SimSun"/>
                <w:sz w:val="18"/>
                <w:szCs w:val="18"/>
              </w:rPr>
              <w:t>an</w:t>
            </w:r>
            <w:r w:rsidRPr="00656FA7">
              <w:rPr>
                <w:rFonts w:eastAsia="SimSun"/>
                <w:sz w:val="18"/>
                <w:szCs w:val="18"/>
                <w:lang w:val="en-AU"/>
              </w:rPr>
              <w:t>t</w:t>
            </w:r>
          </w:p>
        </w:tc>
      </w:tr>
    </w:tbl>
    <w:p w14:paraId="4EBB21F3" w14:textId="77777777" w:rsidR="00917F33" w:rsidRPr="00D625FA" w:rsidRDefault="00917F33" w:rsidP="00917F33">
      <w:pPr>
        <w:pStyle w:val="Bulletedlist"/>
        <w:numPr>
          <w:ilvl w:val="0"/>
          <w:numId w:val="0"/>
        </w:numPr>
        <w:rPr>
          <w:lang w:val="en-US"/>
        </w:rPr>
      </w:pPr>
    </w:p>
    <w:p w14:paraId="7C124ADB" w14:textId="77777777" w:rsidR="00917F33" w:rsidRPr="00FB078C" w:rsidRDefault="00917F33" w:rsidP="00917F33">
      <w:pPr>
        <w:pStyle w:val="Bulletedlist"/>
        <w:jc w:val="both"/>
        <w:rPr>
          <w:rStyle w:val="hps"/>
          <w:color w:val="FF0000"/>
          <w:sz w:val="24"/>
        </w:rPr>
      </w:pPr>
      <w:r w:rsidRPr="00FB078C">
        <w:rPr>
          <w:rStyle w:val="hps"/>
          <w:color w:val="FF0000"/>
        </w:rPr>
        <w:t>H1: there is an effect of adaptation capability to technological change towards employee performance. Table 4 shows the path of structural models that explain the relationship between adaptability to technological change towards employee performance. The structural path findings indicate that there is a significant and positive relationship between adaptability to technological change and employee performance (t = 2.762&gt; 1.96) with significant value (0.00&lt;0.01). So, the first hypothesis is accepted.</w:t>
      </w:r>
    </w:p>
    <w:p w14:paraId="64CE9CC2" w14:textId="77777777" w:rsidR="00917F33" w:rsidRPr="00FB078C" w:rsidRDefault="00917F33" w:rsidP="00917F33">
      <w:pPr>
        <w:pStyle w:val="Bulletedlist"/>
        <w:jc w:val="both"/>
        <w:rPr>
          <w:rStyle w:val="hps"/>
          <w:color w:val="FF0000"/>
          <w:sz w:val="24"/>
        </w:rPr>
      </w:pPr>
      <w:r w:rsidRPr="00FB078C">
        <w:rPr>
          <w:rStyle w:val="hps"/>
          <w:color w:val="FF0000"/>
        </w:rPr>
        <w:t>H2: there is an effect of pro-commitment to learning towards adaptability to technological change. Table 4 shows the path of structural models that explain the relationship between pro-commitment to learning towards adaptability to technological change. The structural path findings indicate that there is a significant relationship between pro-commitment to learning and adaptability to technological change (t = 4.091&gt;1.96) with significant value (0.00 &lt;0.01). So, the second hypothesis is accepted.</w:t>
      </w:r>
    </w:p>
    <w:p w14:paraId="65609936" w14:textId="77777777" w:rsidR="00917F33" w:rsidRPr="00FB078C" w:rsidRDefault="00917F33" w:rsidP="00917F33">
      <w:pPr>
        <w:pStyle w:val="Bulletedlist"/>
        <w:jc w:val="both"/>
        <w:rPr>
          <w:rStyle w:val="hps"/>
          <w:color w:val="FF0000"/>
          <w:sz w:val="24"/>
        </w:rPr>
      </w:pPr>
      <w:r w:rsidRPr="00FB078C">
        <w:rPr>
          <w:rStyle w:val="hps"/>
          <w:color w:val="FF0000"/>
        </w:rPr>
        <w:t>H3: there is an effect of pro-commitment to learning toward employee performance. Table 4 shows the path of structural models that explain the relationship between pro-commitment to learning towards employee performance. The structural path findings indicate that there is a significant relationship between pro-commitment to learning and employee performance (t = 5.978&gt;1.96) with significant value (0.00 &lt;0.01). So, the third hypothesis is accepted.</w:t>
      </w:r>
    </w:p>
    <w:p w14:paraId="45E2AB8C" w14:textId="77777777" w:rsidR="00917F33" w:rsidRPr="00FB078C" w:rsidRDefault="00917F33" w:rsidP="00917F33">
      <w:pPr>
        <w:pStyle w:val="Bulletedlist"/>
        <w:jc w:val="both"/>
        <w:rPr>
          <w:rStyle w:val="hps"/>
          <w:color w:val="FF0000"/>
          <w:sz w:val="24"/>
        </w:rPr>
      </w:pPr>
      <w:r w:rsidRPr="00FB078C">
        <w:rPr>
          <w:rStyle w:val="hps"/>
          <w:color w:val="FF0000"/>
        </w:rPr>
        <w:t>H4: there is an effect of professional experience portfolio towards adaptability to technological change. Table 4 shows the path of structural models that explain the relationship between professional experience portfolio towards adaptability to technological change. The structural path findings indicate that there is a significant and positive relationship between professional experience portfolio and adaptability to technological change (t = 5.296&gt;1.96) with significant value (0.00&lt;0.01). So, the fourth hypothesis is accepted.</w:t>
      </w:r>
    </w:p>
    <w:p w14:paraId="23DBE829" w14:textId="77777777" w:rsidR="00917F33" w:rsidRPr="00FB078C" w:rsidRDefault="00917F33" w:rsidP="00917F33">
      <w:pPr>
        <w:pStyle w:val="Bulletedlist"/>
        <w:jc w:val="both"/>
        <w:rPr>
          <w:rStyle w:val="hps"/>
          <w:color w:val="FF0000"/>
          <w:sz w:val="24"/>
        </w:rPr>
      </w:pPr>
      <w:r w:rsidRPr="00FB078C">
        <w:rPr>
          <w:rStyle w:val="hps"/>
          <w:color w:val="FF0000"/>
        </w:rPr>
        <w:t>H5: there is an effect of professional experience portfolio toward pro-commitment to learning.  Table 4 shows the path of structural models that explain the relationship between professional experience portfolio toward pro-commitment to learning. The structural path findings indicate that there is a significant relationship between professional experience portfolio and pro-commitment to learning (t = 11.030&gt; 1.96) with significant value (0.00 &lt;0.01). So, the fifth hypothesis is accepted.</w:t>
      </w:r>
    </w:p>
    <w:p w14:paraId="46663F9E" w14:textId="77777777" w:rsidR="00917F33" w:rsidRPr="00FB078C" w:rsidRDefault="00917F33" w:rsidP="00917F33">
      <w:pPr>
        <w:pStyle w:val="Bulletedlist"/>
        <w:jc w:val="both"/>
        <w:rPr>
          <w:rStyle w:val="hps"/>
          <w:color w:val="FF0000"/>
          <w:sz w:val="24"/>
        </w:rPr>
      </w:pPr>
      <w:r w:rsidRPr="00FB078C">
        <w:rPr>
          <w:rStyle w:val="hps"/>
          <w:color w:val="FF0000"/>
        </w:rPr>
        <w:t>H6: there is an effect of professional experience portfolio toward employee performance. Table 4 shows the path of structural models that explain the relationship between professional experience portfolio toward employee performance. The structural path findings indicate that there isn’t significant relationship between professional experience portfolio and employee performance (t = -0.173&lt;1.96) with significant value (0.863&gt;0.01). So, the sixth hypothesis isn’t accepted</w:t>
      </w:r>
    </w:p>
    <w:p w14:paraId="5BA35841" w14:textId="77777777" w:rsidR="00917F33" w:rsidRPr="00FB078C" w:rsidRDefault="00917F33" w:rsidP="00917F33">
      <w:pPr>
        <w:pStyle w:val="Bulletedlist"/>
        <w:jc w:val="both"/>
        <w:rPr>
          <w:color w:val="FF0000"/>
          <w:lang w:val="en-US"/>
        </w:rPr>
      </w:pPr>
      <w:r w:rsidRPr="00FB078C">
        <w:rPr>
          <w:color w:val="FF0000"/>
        </w:rPr>
        <w:t xml:space="preserve">Based on the results of the sobel test, the statistical test shows a value of 6.21415511, with a p-value of 0.000 which is significant at the 0.01 significance level. The mediating role of pro-commitment to learning on the influence of professional experience portfolio on employee performance is significant. This study concludes that pro-commitment to learning is able to mediate the influence of professional experience portfolio on employee performance. </w:t>
      </w:r>
      <w:r w:rsidRPr="00FB078C">
        <w:rPr>
          <w:color w:val="FF0000"/>
          <w:lang w:val="en-AU"/>
        </w:rPr>
        <w:t>Since</w:t>
      </w:r>
      <w:r w:rsidRPr="00FB078C">
        <w:rPr>
          <w:color w:val="FF0000"/>
        </w:rPr>
        <w:t xml:space="preserve"> the direct influence of the portfolio professional experience on employee performance is negative and not significant, pro-commitment to learning serve</w:t>
      </w:r>
      <w:r w:rsidRPr="00FB078C">
        <w:rPr>
          <w:color w:val="FF0000"/>
          <w:lang w:val="en-AU"/>
        </w:rPr>
        <w:t>s</w:t>
      </w:r>
      <w:r w:rsidRPr="00FB078C">
        <w:rPr>
          <w:color w:val="FF0000"/>
        </w:rPr>
        <w:t xml:space="preserve"> as a full mediating variable.  </w:t>
      </w:r>
    </w:p>
    <w:p w14:paraId="247D96DF" w14:textId="77777777" w:rsidR="00917F33" w:rsidRDefault="00917F33" w:rsidP="00917F33">
      <w:pPr>
        <w:pStyle w:val="Bulletedlist"/>
        <w:jc w:val="both"/>
      </w:pPr>
      <w:r w:rsidRPr="00FB078C">
        <w:rPr>
          <w:color w:val="FF0000"/>
        </w:rPr>
        <w:t xml:space="preserve">The role of mediation adaptation capability </w:t>
      </w:r>
      <w:r w:rsidRPr="00FB078C">
        <w:rPr>
          <w:color w:val="FF0000"/>
          <w:lang w:val="en-AU"/>
        </w:rPr>
        <w:t xml:space="preserve">to </w:t>
      </w:r>
      <w:r w:rsidRPr="00FB078C">
        <w:rPr>
          <w:color w:val="FF0000"/>
        </w:rPr>
        <w:t xml:space="preserve">technological change on the influence of professional portfolio experience on employee performance is also significant. Based on the results of the sobel test, the statistical test shows the value of 4.65566640, with probability values ​​both one-way and two-way less than 0.01. </w:t>
      </w:r>
      <w:r w:rsidRPr="00FB078C">
        <w:rPr>
          <w:color w:val="FF0000"/>
          <w:lang w:val="en-AU"/>
        </w:rPr>
        <w:t>Therefore</w:t>
      </w:r>
      <w:r w:rsidRPr="00FB078C">
        <w:rPr>
          <w:color w:val="FF0000"/>
        </w:rPr>
        <w:t xml:space="preserve">, this study concludes that adaptation capability </w:t>
      </w:r>
      <w:r w:rsidRPr="00FB078C">
        <w:rPr>
          <w:color w:val="FF0000"/>
          <w:lang w:val="en-AU"/>
        </w:rPr>
        <w:t>to</w:t>
      </w:r>
      <w:r w:rsidRPr="00FB078C">
        <w:rPr>
          <w:color w:val="FF0000"/>
        </w:rPr>
        <w:t xml:space="preserve"> technological change is able to fully mediate the effect of professional portfolio experience on employee performance</w:t>
      </w:r>
      <w:r w:rsidRPr="00D625FA">
        <w:t xml:space="preserve">. </w:t>
      </w:r>
    </w:p>
    <w:p w14:paraId="0111BA03" w14:textId="77777777" w:rsidR="00917F33" w:rsidRPr="002F3A15" w:rsidRDefault="00917F33" w:rsidP="00917F33">
      <w:pPr>
        <w:pStyle w:val="Paragraphbody"/>
        <w:rPr>
          <w:lang w:val="en-GB"/>
        </w:rPr>
      </w:pPr>
    </w:p>
    <w:p w14:paraId="2019C621" w14:textId="77777777" w:rsidR="00917F33" w:rsidRPr="004D21E3" w:rsidRDefault="00917F33" w:rsidP="00917F33">
      <w:pPr>
        <w:pStyle w:val="Paragraphbody"/>
      </w:pPr>
      <w:r w:rsidRPr="004D21E3">
        <w:t xml:space="preserve">The result of hypothesis testing shows that there is an effect of adaptation to technological change toward employee performance. The company has strengthened its core competence by adopting information technology. Therefore, it is important to understand how investment in technology contributes to business achievement. This is in line with the research by </w:t>
      </w:r>
      <w:r w:rsidRPr="004D21E3">
        <w:fldChar w:fldCharType="begin" w:fldLock="1"/>
      </w:r>
      <w:r>
        <w:instrText>ADDIN CSL_CITATION { "citationItems" : [ { "id" : "ITEM-1", "itemData" : { "author" : [ { "dropping-particle" : "", "family" : "Lee", "given" : "Haewon", "non-dropping-particle" : "", "parse-names" : false, "suffix" : "" }, { "dropping-particle" : "", "family" : "Choi", "given" : "Hanbyeol", "non-dropping-particle" : "", "parse-names" : false, "suffix" : "" }, { "dropping-particle" : "", "family" : "Lee", "given" : "Junyeong", "non-dropping-particle" : "", "parse-names" : false, "suffix" : "" }, { "dropping-particle" : "", "family" : "Min", "given" : "Jinyoung", "non-dropping-particle" : "", "parse-names" : false, "suffix" : "" }, { "dropping-particle" : "", "family" : "Lee", "given" : "Heeseok", "non-dropping-particle" : "", "parse-names" : false, "suffix" : "" } ], "container-title" : "Procedia Computer Science", "id" : "ITEM-1", "issued" : { "date-parts" : [ [ "2016" ] ] }, "page" : "652-661", "title" : "Impact of IT investment on firm performance based on Technology IT Architecture", "type" : "paper-conference", "volume" : "91" }, "uris" : [ "http://www.mendeley.com/documents/?uuid=5b8e0548-4fce-4c4f-bfcc-3ddbce8e670f" ] } ], "mendeley" : { "formattedCitation" : "(Lee et al., 2016)", "manualFormatting" : "H. Lee et al., (2016)", "plainTextFormattedCitation" : "(Lee et al., 2016)", "previouslyFormattedCitation" : "(Lee et al., 2016)" }, "properties" : { "noteIndex" : 0 }, "schema" : "https://github.com/citation-style-language/schema/raw/master/csl-citation.json" }</w:instrText>
      </w:r>
      <w:r w:rsidRPr="004D21E3">
        <w:fldChar w:fldCharType="separate"/>
      </w:r>
      <w:r w:rsidRPr="004D21E3">
        <w:rPr>
          <w:noProof/>
        </w:rPr>
        <w:t>H. Lee et al., (2016)</w:t>
      </w:r>
      <w:r w:rsidRPr="004D21E3">
        <w:fldChar w:fldCharType="end"/>
      </w:r>
      <w:r w:rsidRPr="004D21E3">
        <w:t xml:space="preserve"> which says that wireless technology has the most significant influence in increasing business profit. </w:t>
      </w:r>
      <w:r w:rsidRPr="004D21E3">
        <w:fldChar w:fldCharType="begin" w:fldLock="1"/>
      </w:r>
      <w:r>
        <w:instrText>ADDIN CSL_CITATION { "citationItems" : [ { "id" : "ITEM-1", "itemData" : { "author" : [ { "dropping-particle" : "", "family" : "Jabbouri", "given" : "Nada Ismaeel", "non-dropping-particle" : "", "parse-names" : false, "suffix" : "" }, { "dropping-particle" : "", "family" : "Sirona", "given" : "Rusinah", "non-dropping-particle" : "", "parse-names" : false, "suffix" : "" }, { "dropping-particle" : "", "family" : "Zahari", "given" : "Ibrahim", "non-dropping-particle" : "", "parse-names" : false, "suffix" : "" }, { "dropping-particle" : "", "family" : "Khalida", "given" : "Mahmoud", "non-dropping-particle" : "", "parse-names" : false, "suffix" : "" } ], "container-title" : "Procedia Economics and Finance", "id" : "ITEM-1", "issue" : "861-869", "issued" : { "date-parts" : [ [ "2016" ] ] }, "title" : "Impact of information technology infrastructure on innovation performance: An empirical study on private Universities in Iraq", "type" : "article-journal", "volume" : "39" }, "uris" : [ "http://www.mendeley.com/documents/?uuid=7ca214f5-87c2-4d25-8893-c37620918b04" ] } ], "mendeley" : { "formattedCitation" : "(Jabbouri et al., 2016)", "manualFormatting" : "Jabbouri et al., (2016)", "plainTextFormattedCitation" : "(Jabbouri et al., 2016)", "previouslyFormattedCitation" : "(Jabbouri et al., 2016)" }, "properties" : { "noteIndex" : 0 }, "schema" : "https://github.com/citation-style-language/schema/raw/master/csl-citation.json" }</w:instrText>
      </w:r>
      <w:r w:rsidRPr="004D21E3">
        <w:fldChar w:fldCharType="separate"/>
      </w:r>
      <w:r w:rsidRPr="004D21E3">
        <w:rPr>
          <w:noProof/>
        </w:rPr>
        <w:t>Jabbouri et al., (2016)</w:t>
      </w:r>
      <w:r w:rsidRPr="004D21E3">
        <w:fldChar w:fldCharType="end"/>
      </w:r>
      <w:r w:rsidRPr="004D21E3">
        <w:t xml:space="preserve"> share the opinion that information technology infrastructure and innovation performance play an important role.</w:t>
      </w:r>
      <w:r>
        <w:t xml:space="preserve"> </w:t>
      </w:r>
      <w:r w:rsidRPr="004D21E3">
        <w:t xml:space="preserve">On the information technology resources of companies, </w:t>
      </w:r>
      <w:r w:rsidRPr="004D21E3">
        <w:fldChar w:fldCharType="begin" w:fldLock="1"/>
      </w:r>
      <w:r>
        <w:instrText>ADDIN CSL_CITATION { "citationItems" : [ { "id" : "ITEM-1", "itemData" : { "DOI" : "10.2307/3250983", "ISSN" : "0276-7783", "author" : [ { "dropping-particle" : "", "family" : "Bharadwaj", "given" : "Anandhi S", "non-dropping-particle" : "", "parse-names" : false, "suffix" : "" } ], "container-title" : "MIS quarterly", "id" : "ITEM-1", "issued" : { "date-parts" : [ [ "2000" ] ] }, "page" : "169-196", "publisher" : "JSTOR", "title" : "A resource-based perspective on information technology capability and firm performance: an empirical investigation", "type" : "article-journal" }, "uris" : [ "http://www.mendeley.com/documents/?uuid=044c26ad-ed4c-41de-899e-9d2caaf4d116" ] } ], "mendeley" : { "formattedCitation" : "(Bharadwaj, 2000)", "manualFormatting" : "Bharadwaj (2000)", "plainTextFormattedCitation" : "(Bharadwaj, 2000)", "previouslyFormattedCitation" : "(Bharadwaj, 2000)" }, "properties" : { "noteIndex" : 0 }, "schema" : "https://github.com/citation-style-language/schema/raw/master/csl-citation.json" }</w:instrText>
      </w:r>
      <w:r w:rsidRPr="004D21E3">
        <w:fldChar w:fldCharType="separate"/>
      </w:r>
      <w:r>
        <w:rPr>
          <w:noProof/>
        </w:rPr>
        <w:t>Bharadwaj</w:t>
      </w:r>
      <w:r w:rsidRPr="004D21E3">
        <w:rPr>
          <w:noProof/>
        </w:rPr>
        <w:t xml:space="preserve"> </w:t>
      </w:r>
      <w:r>
        <w:rPr>
          <w:noProof/>
        </w:rPr>
        <w:t>(</w:t>
      </w:r>
      <w:r w:rsidRPr="004D21E3">
        <w:rPr>
          <w:noProof/>
        </w:rPr>
        <w:t>2000)</w:t>
      </w:r>
      <w:r w:rsidRPr="004D21E3">
        <w:fldChar w:fldCharType="end"/>
      </w:r>
      <w:r w:rsidRPr="004D21E3">
        <w:t xml:space="preserve"> argues that a company can be distinguished from other companies because of its ability to adopt technological changes. The company uses information technology to serve its specific needs, to renew the system, and to have competitive superiority that cannot be imitated by competitors. Companies develop new technologies to support consumer-oriented activities and eventually gain financial superiority due to increased profit.</w:t>
      </w:r>
    </w:p>
    <w:p w14:paraId="17D2ACF2" w14:textId="77777777" w:rsidR="00917F33" w:rsidRDefault="00917F33" w:rsidP="00917F33">
      <w:pPr>
        <w:pStyle w:val="Paragraphbody"/>
      </w:pPr>
      <w:r w:rsidRPr="004D21E3">
        <w:t xml:space="preserve">This is in line with the role of pro-commitment to learning, which encourages employees’ adaptation to new technology. A study by </w:t>
      </w:r>
      <w:r w:rsidRPr="004D21E3">
        <w:fldChar w:fldCharType="begin" w:fldLock="1"/>
      </w:r>
      <w:r>
        <w:instrText>ADDIN CSL_CITATION { "citationItems" : [ { "id" : "ITEM-1", "itemData" : { "DOI" : "10.1002/smj.337", "author" : [ { "dropping-particle" : "", "family" : "Tippins", "given" : "Michael J", "non-dropping-particle" : "", "parse-names" : false, "suffix" : "" }, { "dropping-particle" : "", "family" : "Sohi", "given" : "Ravipreet S", "non-dropping-particle" : "", "parse-names" : false, "suffix" : "" } ], "container-title" : "Strategic Management Journal", "id" : "ITEM-1", "issued" : { "date-parts" : [ [ "2003" ] ] }, "page" : "745-761", "title" : "IT competency and firm performance: Is organizational learning a missing link?", "type" : "article-journal", "volume" : "24" }, "uris" : [ "http://www.mendeley.com/documents/?uuid=8a9a095f-e6c8-45fc-bd10-441105a57d78" ] } ], "mendeley" : { "formattedCitation" : "(Tippins &amp; Sohi, 2003)", "manualFormatting" : "Tippins and Sohi (2003)", "plainTextFormattedCitation" : "(Tippins &amp; Sohi, 2003)", "previouslyFormattedCitation" : "(Tippins &amp; Sohi, 2003)" }, "properties" : { "noteIndex" : 0 }, "schema" : "https://github.com/citation-style-language/schema/raw/master/csl-citation.json" }</w:instrText>
      </w:r>
      <w:r w:rsidRPr="004D21E3">
        <w:fldChar w:fldCharType="separate"/>
      </w:r>
      <w:r w:rsidRPr="004D21E3">
        <w:rPr>
          <w:noProof/>
        </w:rPr>
        <w:t>Tippins and Sohi (2003)</w:t>
      </w:r>
      <w:r w:rsidRPr="004D21E3">
        <w:fldChar w:fldCharType="end"/>
      </w:r>
      <w:r w:rsidRPr="004D21E3">
        <w:t xml:space="preserve"> shows perspectives on why some companies fail to achieve their expected profit, despite significant investment in information technology. The result of the study shows that the use of information technology needs support from competent employees through the creation of continuous organizational learning so that technological change and adaptation can increase efficiency.</w:t>
      </w:r>
    </w:p>
    <w:p w14:paraId="08416D70" w14:textId="77777777" w:rsidR="00917F33" w:rsidRDefault="00917F33" w:rsidP="00917F33">
      <w:pPr>
        <w:pStyle w:val="Paragraphbody"/>
      </w:pPr>
      <w:r w:rsidRPr="0091538E">
        <w:t>The findings are in line with</w:t>
      </w:r>
      <w:r>
        <w:t xml:space="preserve"> </w:t>
      </w:r>
      <w:r>
        <w:fldChar w:fldCharType="begin" w:fldLock="1"/>
      </w:r>
      <w:r>
        <w:instrText>ADDIN CSL_CITATION { "citationItems" : [ { "id" : "ITEM-1", "itemData" : { "DOI" : "10.1108/IJOPM-07-2018-0411", "author" : [ { "dropping-particle" : "", "family" : "Sahi", "given" : "Gurjeet Kaur", "non-dropping-particle" : "", "parse-names" : false, "suffix" : "" }, { "dropping-particle" : "", "family" : "Gupta", "given" : "Mahesh C.", "non-dropping-particle" : "", "parse-names" : false, "suffix" : "" }, { "dropping-particle" : "", "family" : "Cheng", "given" : "T.C.E.", "non-dropping-particle" : "", "parse-names" : false, "suffix" : "" }, { "dropping-particle" : "", "family" : "Lonial", "given" : "Subhash C.", "non-dropping-particle" : "", "parse-names" : false, "suffix" : "" } ], "container-title" : "International Journal of Operations &amp; Production Management", "id" : "ITEM-1", "issue" : "5", "issued" : { "date-parts" : [ [ "2019" ] ] }, "page" : "739-766", "title" : "Relating entrepreneurial orientation with operational responsiveness: Roles of competitive intensity and technological turbulence", "type" : "article-journal", "volume" : "39" }, "uris" : [ "http://www.mendeley.com/documents/?uuid=21d97bc3-1a51-42ab-ae8c-94caec55580f" ] } ], "mendeley" : { "formattedCitation" : "(Sahi et al., 2019)", "manualFormatting" : "Sahi et al., (2019)", "plainTextFormattedCitation" : "(Sahi et al., 2019)", "previouslyFormattedCitation" : "(Sahi et al., 2019)" }, "properties" : { "noteIndex" : 0 }, "schema" : "https://github.com/citation-style-language/schema/raw/master/csl-citation.json" }</w:instrText>
      </w:r>
      <w:r>
        <w:fldChar w:fldCharType="separate"/>
      </w:r>
      <w:r w:rsidRPr="00EB78F5">
        <w:rPr>
          <w:noProof/>
        </w:rPr>
        <w:t>Sahi et al., (2019)</w:t>
      </w:r>
      <w:r>
        <w:fldChar w:fldCharType="end"/>
      </w:r>
      <w:r w:rsidRPr="00EB78F5">
        <w:t xml:space="preserve"> </w:t>
      </w:r>
      <w:r w:rsidRPr="0091538E">
        <w:t>superior performance can be achieved by companies through innovation and the willingness of organizations to deal with business risks, besides the influence of technology turbulence also gives a significant but negative impact, so it is concluded that superior performance will be achieved by organizations when technological turbulence tends to be low, medium competitive intensity is high</w:t>
      </w:r>
      <w:r w:rsidRPr="00EB78F5">
        <w:t xml:space="preserve">. </w:t>
      </w:r>
      <w:r w:rsidRPr="0091538E">
        <w:t xml:space="preserve">In line with the views of </w:t>
      </w:r>
      <w:r>
        <w:fldChar w:fldCharType="begin" w:fldLock="1"/>
      </w:r>
      <w:r>
        <w:instrText>ADDIN CSL_CITATION { "citationItems" : [ { "id" : "ITEM-1", "itemData" : { "DOI" : "10.1108/IJPPM-08-2016-0157", "author" : [ { "dropping-particle" : "", "family" : "Morland", "given" : "Charlotte", "non-dropping-particle" : "", "parse-names" : false, "suffix" : "" }, { "dropping-particle" : "", "family" : "Pettersen", "given" : "Inger Johanne", "non-dropping-particle" : "", "parse-names" : false, "suffix" : "" } ], "container-title" : "International Journal of Productivity and Performance", "id" : "ITEM-1", "issue" : "6", "issued" : { "date-parts" : [ [ "2018" ] ] }, "page" : "1000-1015", "title" : "Translating technological change-new technology and practices in a hospital", "type" : "article-journal", "volume" : "67" }, "uris" : [ "http://www.mendeley.com/documents/?uuid=46acac6f-404e-453a-805f-89b1019f6c9b" ] } ], "mendeley" : { "formattedCitation" : "(Morland &amp; Pettersen, 2018)", "manualFormatting" : "Morland &amp; Pettersen (2018)", "plainTextFormattedCitation" : "(Morland &amp; Pettersen, 2018)", "previouslyFormattedCitation" : "(Morland &amp; Pettersen, 2018)" }, "properties" : { "noteIndex" : 0 }, "schema" : "https://github.com/citation-style-language/schema/raw/master/csl-citation.json" }</w:instrText>
      </w:r>
      <w:r>
        <w:fldChar w:fldCharType="separate"/>
      </w:r>
      <w:r>
        <w:rPr>
          <w:noProof/>
        </w:rPr>
        <w:t>Morland &amp; Pettersen (2018)</w:t>
      </w:r>
      <w:r>
        <w:fldChar w:fldCharType="end"/>
      </w:r>
      <w:r>
        <w:t xml:space="preserve">, </w:t>
      </w:r>
      <w:r w:rsidRPr="0091538E">
        <w:t>however, changes in technological devices are highly dependent on people's readiness to deal with them. These findings reinforce the role of humans in technological change is dominant. In line with the theorist concept that redesigned modern technology can improve work effectiveness, and broader studies also emphasize the role of technology in initiating productivity and managing performance</w:t>
      </w:r>
      <w:r>
        <w:t xml:space="preserve">. </w:t>
      </w:r>
    </w:p>
    <w:p w14:paraId="51100F48" w14:textId="77777777" w:rsidR="00917F33" w:rsidRDefault="00917F33" w:rsidP="00917F33">
      <w:pPr>
        <w:pStyle w:val="Paragraphbody"/>
        <w:rPr>
          <w:rFonts w:asciiTheme="majorBidi" w:hAnsiTheme="majorBidi" w:cstheme="majorBidi"/>
        </w:rPr>
      </w:pPr>
      <w:r w:rsidRPr="004D21E3">
        <w:t xml:space="preserve">The result of this research shows that the professional experience portfolio has a significant effect on pro-commitment to learning. Cross-field experience gives more learning opportunity to supervisors and managers. Cross-field experience may not have a direct correlation with present tasks, but it gives supervisors and managers more experience that is useful for future organizational development, and for wider networking. The empirical results also support this view, as indicated by the highest score in the cross-field sector. Cross-field experience increases employees' skills, especially technical skills, problem-solving skills, and operational skills </w:t>
      </w:r>
      <w:r w:rsidRPr="004D21E3">
        <w:fldChar w:fldCharType="begin" w:fldLock="1"/>
      </w:r>
      <w:r>
        <w:instrText>ADDIN CSL_CITATION { "citationItems" : [ { "id" : "ITEM-1", "itemData" : { "DOI" : "http://dx.doi.org/10.1016/j.jbusres.2016.04.137", "ISBN" : "0148-2963", "author" : [ { "dropping-particle" : "", "family" : "Samagaio", "given" : "Antonio", "non-dropping-particle" : "", "parse-names" : false, "suffix" : "" }, { "dropping-particle" : "", "family" : "Rodrigues", "given" : "Ricardo", "non-dropping-particle" : "", "parse-names" : false, "suffix" : "" } ], "container-title" : "Journal of Business Research", "id" : "ITEM-1", "issue" : "11", "issued" : { "date-parts" : [ [ "2016" ] ] }, "page" : "5354-5359", "publisher" : "Elsevier", "title" : "Human capital and performance in young audit firms", "type" : "article-journal", "volume" : "69" }, "uris" : [ "http://www.mendeley.com/documents/?uuid=caa7edfb-579c-48b8-88a8-a45feb400aec" ] } ], "mendeley" : { "formattedCitation" : "(Samagaio &amp; Rodrigues, 2016)", "plainTextFormattedCitation" : "(Samagaio &amp; Rodrigues, 2016)", "previouslyFormattedCitation" : "(Samagaio &amp; Rodrigues, 2016)" }, "properties" : { "noteIndex" : 0 }, "schema" : "https://github.com/citation-style-language/schema/raw/master/csl-citation.json" }</w:instrText>
      </w:r>
      <w:r w:rsidRPr="004D21E3">
        <w:fldChar w:fldCharType="separate"/>
      </w:r>
      <w:r w:rsidRPr="004D21E3">
        <w:rPr>
          <w:noProof/>
        </w:rPr>
        <w:t>(Samagaio &amp; Rodrigues, 2016)</w:t>
      </w:r>
      <w:r w:rsidRPr="004D21E3">
        <w:fldChar w:fldCharType="end"/>
      </w:r>
      <w:r w:rsidRPr="004D21E3">
        <w:t xml:space="preserve">. Employee expertise and competence are built within their role in the company through a variety of training strategies which stimulate employees to keep learning. This is in accordance with </w:t>
      </w:r>
      <w:r w:rsidRPr="004D21E3">
        <w:fldChar w:fldCharType="begin" w:fldLock="1"/>
      </w:r>
      <w:r>
        <w:instrText>ADDIN CSL_CITATION { "citationItems" : [ { "id" : "ITEM-1", "itemData" : { "DOI" : "10.1007/s10869-009-9126-0", "ISSN" : "08893268", "PMID" : "1536981", "abstract" : "Flying-type sliders with the integration of optical components were developed for Near-Field Recording (NFR) and Far-Field Recording (FFR) technologies. The key design issue was the integration of the optical components with the slider. Due to the size of the lenses mounted on it, the slider had to be relatively large, corresponding to the size of a micro-slider. Also, the non-uniform distribution of the slider body density was incorporated in the design. As for the optical disk substrate, a plastic material such as polycarbonate was investigated because of its manufacturing convenience and cost effectiveness. The flying and tribological performance of the prototype optical sliders on various media were assessed. The results showed that the tribological characteristics of the slider/disk interface were sensitive to several factors including the properties of the disk. Adequate flying characteristics of the optical sliders on glass (NFR) and plastic (FFR) disks could be attained by optimizing these parameters. \u00a9 2005 Elsevier Ltd. All rights reserved.", "author" : [ { "dropping-particle" : "", "family" : "Maurer", "given" : "Todd J.", "non-dropping-particle" : "", "parse-names" : false, "suffix" : "" }, { "dropping-particle" : "", "family" : "Weiss", "given" : "Elizabeth M.", "non-dropping-particle" : "", "parse-names" : false, "suffix" : "" } ], "container-title" : "J Bus Psychol", "id" : "ITEM-1", "issued" : { "date-parts" : [ [ "2010" ] ] }, "page" : "1-13", "title" : "Continuous learning skill demands: Associations with managerial job content, age, and experience", "type" : "article-journal", "volume" : "25" }, "uris" : [ "http://www.mendeley.com/documents/?uuid=d83ea5cd-1f93-43d0-961a-640428bf7bdb" ] } ], "mendeley" : { "formattedCitation" : "(Maurer &amp; Weiss, 2010)", "manualFormatting" : "Maurer &amp; Weiss (2010)", "plainTextFormattedCitation" : "(Maurer &amp; Weiss, 2010)", "previouslyFormattedCitation" : "(Maurer &amp; Weiss, 2010)" }, "properties" : { "noteIndex" : 0 }, "schema" : "https://github.com/citation-style-language/schema/raw/master/csl-citation.json" }</w:instrText>
      </w:r>
      <w:r w:rsidRPr="004D21E3">
        <w:fldChar w:fldCharType="separate"/>
      </w:r>
      <w:r w:rsidRPr="004D21E3">
        <w:rPr>
          <w:noProof/>
        </w:rPr>
        <w:t>Maurer &amp; Weiss (2010)</w:t>
      </w:r>
      <w:r w:rsidRPr="004D21E3">
        <w:fldChar w:fldCharType="end"/>
      </w:r>
      <w:r w:rsidRPr="004D21E3">
        <w:t xml:space="preserve"> who noted that the employees' commitment to ongoing learning gave them the ability to learn new things and to recognize their own strengths and weaknesses.</w:t>
      </w:r>
      <w:r>
        <w:t xml:space="preserve"> </w:t>
      </w:r>
      <w:r w:rsidRPr="003A6329">
        <w:rPr>
          <w:rFonts w:asciiTheme="majorBidi" w:hAnsiTheme="majorBidi" w:cstheme="majorBidi"/>
        </w:rPr>
        <w:t xml:space="preserve">In line with the findings of </w:t>
      </w:r>
      <w:r>
        <w:rPr>
          <w:rFonts w:asciiTheme="majorBidi" w:hAnsiTheme="majorBidi" w:cstheme="majorBidi"/>
        </w:rPr>
        <w:t xml:space="preserve"> </w:t>
      </w:r>
      <w:r w:rsidRPr="003A6329">
        <w:rPr>
          <w:rFonts w:asciiTheme="majorBidi" w:hAnsiTheme="majorBidi" w:cstheme="majorBidi"/>
        </w:rPr>
        <w:fldChar w:fldCharType="begin" w:fldLock="1"/>
      </w:r>
      <w:r w:rsidRPr="003A6329">
        <w:rPr>
          <w:rFonts w:asciiTheme="majorBidi" w:hAnsiTheme="majorBidi" w:cstheme="majorBidi"/>
        </w:rPr>
        <w:instrText>ADDIN CSL_CITATION { "citationItems" : [ { "id" : "ITEM-1", "itemData" : { "DOI" : "https://doi.org/10.1108/JBIM-05-2019-0197", "author" : [ { "dropping-particle" : "", "family" : "Sraha", "given" : "Gloria", "non-dropping-particle" : "", "parse-names" : false, "suffix" : "" }, { "dropping-particle" : "", "family" : "Sharma", "given" : "Revti Raman", "non-dropping-particle" : "", "parse-names" : false, "suffix" : "" }, { "dropping-particle" : "", "family" : "Crick", "given" : "Dave", "non-dropping-particle" : "", "parse-names" : false, "suffix" : "" }, { "dropping-particle" : "", "family" : "Crick", "given" : "James M.", "non-dropping-particle" : "", "parse-names" : false, "suffix" : "" } ], "container-title" : "Journal of Business &amp; Industrial Marketing", "id" : "ITEM-1", "issued" : { "date-parts" : [ [ "2020" ] ] }, "title" : "International experience, commitment, distribution adaptation and performance: A study of Ghanaian firms in B2B export markets", "type" : "article-journal" }, "uris" : [ "http://www.mendeley.com/documents/?uuid=67bdc838-eb8e-4d0e-9bf9-8655853ab1ad" ] } ], "mendeley" : { "formattedCitation" : "(Sraha et al., 2020)", "manualFormatting" : "Sraha et al., (2020)", "plainTextFormattedCitation" : "(Sraha et al., 2020)", "previouslyFormattedCitation" : "(Sraha et al., 2020)" }, "properties" : { "noteIndex" : 0 }, "schema" : "https://github.com/citation-style-language/schema/raw/master/csl-citation.json" }</w:instrText>
      </w:r>
      <w:r w:rsidRPr="003A6329">
        <w:rPr>
          <w:rFonts w:asciiTheme="majorBidi" w:hAnsiTheme="majorBidi" w:cstheme="majorBidi"/>
        </w:rPr>
        <w:fldChar w:fldCharType="separate"/>
      </w:r>
      <w:r w:rsidRPr="003A6329">
        <w:rPr>
          <w:rFonts w:asciiTheme="majorBidi" w:hAnsiTheme="majorBidi" w:cstheme="majorBidi"/>
          <w:noProof/>
        </w:rPr>
        <w:t>Sraha et al., (2020)</w:t>
      </w:r>
      <w:r w:rsidRPr="003A6329">
        <w:rPr>
          <w:rFonts w:asciiTheme="majorBidi" w:hAnsiTheme="majorBidi" w:cstheme="majorBidi"/>
        </w:rPr>
        <w:fldChar w:fldCharType="end"/>
      </w:r>
      <w:r w:rsidRPr="003A6329">
        <w:rPr>
          <w:rFonts w:asciiTheme="majorBidi" w:hAnsiTheme="majorBidi" w:cstheme="majorBidi"/>
        </w:rPr>
        <w:t xml:space="preserve"> that export commitments are able to mediate the influence of company experience and performance. This finding reinforces the important role of commitment to build a larger export market with a business model that is able to overcome export barriers. In line with the findings of </w:t>
      </w:r>
      <w:r>
        <w:rPr>
          <w:rFonts w:asciiTheme="majorBidi" w:hAnsiTheme="majorBidi" w:cstheme="majorBidi"/>
        </w:rPr>
        <w:t xml:space="preserve"> </w:t>
      </w:r>
      <w:r w:rsidRPr="003A6329">
        <w:rPr>
          <w:rFonts w:asciiTheme="majorBidi" w:hAnsiTheme="majorBidi" w:cstheme="majorBidi"/>
        </w:rPr>
        <w:fldChar w:fldCharType="begin" w:fldLock="1"/>
      </w:r>
      <w:r w:rsidRPr="003A6329">
        <w:rPr>
          <w:rFonts w:asciiTheme="majorBidi" w:hAnsiTheme="majorBidi" w:cstheme="majorBidi"/>
        </w:rPr>
        <w:instrText>ADDIN CSL_CITATION { "citationItems" : [ { "id" : "ITEM-1", "itemData" : { "author" : [ { "dropping-particle" : "", "family" : "Fu", "given" : "Xiaoxiao", "non-dropping-particle" : "", "parse-names" : false, "suffix" : "" }, { "dropping-particle" : "", "family" : "Kang", "given" : "Juhee", "non-dropping-particle" : "", "parse-names" : false, "suffix" : "" }, { "dropping-particle" : "", "family" : "Wiitala", "given" : "Jeeyeon Jeannie Hahm Jessica", "non-dropping-particle" : "", "parse-names" : false, "suffix" : "" } ], "container-title" : "International Journal of Contemporary Hospitality Management", "id" : "ITEM-1", "issue" : "3", "issued" : { "date-parts" : [ [ "2020" ] ] }, "page" : "1181-1199", "title" : "Investigating the consequences of theme park experience through the lenses of self-congruity and flow", "type" : "article-journal", "volume" : "32" }, "uris" : [ "http://www.mendeley.com/documents/?uuid=adac2538-83ff-4785-b506-2ab22dd6244a" ] } ], "mendeley" : { "formattedCitation" : "(Fu et al., 2020)", "manualFormatting" : "Fu et al., (2020)", "plainTextFormattedCitation" : "(Fu et al., 2020)", "previouslyFormattedCitation" : "(Fu et al., 2020)" }, "properties" : { "noteIndex" : 0 }, "schema" : "https://github.com/citation-style-language/schema/raw/master/csl-citation.json" }</w:instrText>
      </w:r>
      <w:r w:rsidRPr="003A6329">
        <w:rPr>
          <w:rFonts w:asciiTheme="majorBidi" w:hAnsiTheme="majorBidi" w:cstheme="majorBidi"/>
        </w:rPr>
        <w:fldChar w:fldCharType="separate"/>
      </w:r>
      <w:r w:rsidRPr="003A6329">
        <w:rPr>
          <w:rFonts w:asciiTheme="majorBidi" w:hAnsiTheme="majorBidi" w:cstheme="majorBidi"/>
          <w:noProof/>
        </w:rPr>
        <w:t>Fu et al., (2020)</w:t>
      </w:r>
      <w:r w:rsidRPr="003A6329">
        <w:rPr>
          <w:rFonts w:asciiTheme="majorBidi" w:hAnsiTheme="majorBidi" w:cstheme="majorBidi"/>
        </w:rPr>
        <w:fldChar w:fldCharType="end"/>
      </w:r>
      <w:r w:rsidRPr="003A6329">
        <w:rPr>
          <w:rFonts w:asciiTheme="majorBidi" w:hAnsiTheme="majorBidi" w:cstheme="majorBidi"/>
        </w:rPr>
        <w:t xml:space="preserve">  corroborating the findings of this study that the experience of managing an amusement park will increase the commitment of visitors, by designing an amusement park that can create value for visitors and be able to immerse visitors to enjoy the place of entertainment optimally. </w:t>
      </w:r>
    </w:p>
    <w:p w14:paraId="70271814" w14:textId="77777777" w:rsidR="00917F33" w:rsidRDefault="00917F33" w:rsidP="00917F33">
      <w:pPr>
        <w:pStyle w:val="Paragraphbody"/>
      </w:pPr>
      <w:r w:rsidRPr="008221DA">
        <w:t xml:space="preserve">The results support the research of </w:t>
      </w:r>
      <w:r w:rsidRPr="006778B9">
        <w:fldChar w:fldCharType="begin" w:fldLock="1"/>
      </w:r>
      <w:r>
        <w:instrText>ADDIN CSL_CITATION { "citationItems" : [ { "id" : "ITEM-1", "itemData" : { "DOI" : "10.14254/2071-8330.2019/12-2/19", "ISSN" : "23063483", "abstract" : "Human capital is frequently viewed as the only resource that can be constantly developed, and it can be denoted as key in the long term in efforts to increase the level of organisations. This paper aims at analysing the present state of focus of Slovak organisations on systematic education, on comprehensive targeting of education on all employees, as well as on the assessment of effectiveness in education in the context of a relationship to the region in which such organisations operate. Several partial objectives, such as a questionnaire survey conducted in Slovak organisations between 2013 \u2013 2017, were fulfilled in order to accomplish this objective. Statistical hypothesis testing aimed at specifying the relationship between the region of operation of the given organisation and the execution of activities related to systematic education of employees in it, the focus of the organisation on education of all employees, and the assessment of effectiveness in the education provided by them, confirmed a link between the analysed variables. Positive changes in the selected attributes in time were evaluated by the fixed-base index.", "author" : [ { "dropping-particle" : "", "family" : "Stacho", "given" : "Zdenko", "non-dropping-particle" : "", "parse-names" : false, "suffix" : "" }, { "dropping-particle" : "", "family" : "Stachov\u00e1", "given" : "Katar\u00edna", "non-dropping-particle" : "", "parse-names" : false, "suffix" : "" }, { "dropping-particle" : "", "family" : "Rai\u0161ien\u0117", "given" : "Agota Giedr\u0117", "non-dropping-particle" : "", "parse-names" : false, "suffix" : "" } ], "container-title" : "Journal of International Studies", "id" : "ITEM-1", "issue" : "2", "issued" : { "date-parts" : [ [ "2019" ] ] }, "page" : "299-308", "title" : "Change in approach to employee development in organizations on a regional scale", "type" : "article-journal", "volume" : "12" }, "uris" : [ "http://www.mendeley.com/documents/?uuid=bae682bc-a179-4898-862d-06c5d1051e62" ] } ], "mendeley" : { "formattedCitation" : "(Stacho et al., 2019)", "manualFormatting" : "Stacho et al., (2019)", "plainTextFormattedCitation" : "(Stacho et al., 2019)", "previouslyFormattedCitation" : "(Stacho et al., 2019)" }, "properties" : { "noteIndex" : 0 }, "schema" : "https://github.com/citation-style-language/schema/raw/master/csl-citation.json" }</w:instrText>
      </w:r>
      <w:r w:rsidRPr="006778B9">
        <w:fldChar w:fldCharType="separate"/>
      </w:r>
      <w:r w:rsidRPr="006778B9">
        <w:rPr>
          <w:noProof/>
        </w:rPr>
        <w:t xml:space="preserve">Stacho et al., </w:t>
      </w:r>
      <w:r>
        <w:rPr>
          <w:noProof/>
        </w:rPr>
        <w:t>(</w:t>
      </w:r>
      <w:r w:rsidRPr="006778B9">
        <w:rPr>
          <w:noProof/>
        </w:rPr>
        <w:t>2019)</w:t>
      </w:r>
      <w:r w:rsidRPr="006778B9">
        <w:fldChar w:fldCharType="end"/>
      </w:r>
      <w:r w:rsidRPr="008221DA">
        <w:t xml:space="preserve"> showing that education and training are considered as a way for an organization to retain its best employees to continue to learn and develop themselves, and increase their competence. Learning organizations are considered as organizational capital for business development in the long term, increasing competitiveness and increasing the ability of organizations to adapt to external changes. The findings of this study are education and training must continue to be developed, especially regarding the role of the organization because not all organizations support training and career development of employees, most of which happens is that training and education are employees' own awareness to develop. But in general this research supports the role of training and education in encouraging employee adaptation to change and improving employee performance.</w:t>
      </w:r>
    </w:p>
    <w:p w14:paraId="26D3B466" w14:textId="77777777" w:rsidR="00917F33" w:rsidRDefault="00917F33" w:rsidP="00917F33">
      <w:pPr>
        <w:pStyle w:val="Paragraphbody"/>
      </w:pPr>
      <w:r w:rsidRPr="008221DA">
        <w:t xml:space="preserve">The results of the study are in line with the view </w:t>
      </w:r>
      <w:r w:rsidRPr="006778B9">
        <w:fldChar w:fldCharType="begin" w:fldLock="1"/>
      </w:r>
      <w:r>
        <w:instrText>ADDIN CSL_CITATION { "citationItems" : [ { "id" : "ITEM-1", "itemData" : { "DOI" : "10.14254/2071-789X.2019/12-2/10", "ISSN" : "23063459", "abstract" : "The study highlight the implications of Transformational Leadership, examining its role in predicting Organizational Performance. The study also investigates the mediating role of Organizational Learning, Organizational Innovation, and Organizational Culture. Although these mediate relationships are very important for improving Organizational Performance, prior studies have not usually examined them. A study was carried out on a sample including 314 Vietnamese manufacturing firms. The findings indicated that Transformational Leadership can foster Organizational Performance through Organizational Learning, Organizational Innovation, and Organizational Culture. Furthermore, Organizational Learning and Organizational Culture influence Organizational Performance positively, both directly and indirectly through Organizational Innovation. The findings revealed that Organizational Innovation has a positive relationship with Organizational Performance.", "author" : [ { "dropping-particle" : "", "family" : "Nguyen", "given" : "Thi Trang Nhung", "non-dropping-particle" : "", "parse-names" : false, "suffix" : "" }, { "dropping-particle" : "", "family" : "Luu", "given" : "Thi Minh Ngoc", "non-dropping-particle" : "", "parse-names" : false, "suffix" : "" } ], "container-title" : "Economics and Sociology", "id" : "ITEM-1", "issue" : "2", "issued" : { "date-parts" : [ [ "2019" ] ] }, "page" : "170-191", "title" : "Linking transformational leadership and organizational performance: An empirical investigation of manufacturing firms in Vietnam", "type" : "article-journal", "volume" : "12" }, "uris" : [ "http://www.mendeley.com/documents/?uuid=ba2b46a7-a4fa-41ac-aa54-68578109ce51" ] } ], "mendeley" : { "formattedCitation" : "(T. T. N. Nguyen &amp; Luu, 2019)", "manualFormatting" : "T. T. N. Nguyen &amp; Luu, (2019)", "plainTextFormattedCitation" : "(T. T. N. Nguyen &amp; Luu, 2019)", "previouslyFormattedCitation" : "(T. T. N. Nguyen &amp; Luu, 2019)" }, "properties" : { "noteIndex" : 0 }, "schema" : "https://github.com/citation-style-language/schema/raw/master/csl-citation.json" }</w:instrText>
      </w:r>
      <w:r w:rsidRPr="006778B9">
        <w:fldChar w:fldCharType="separate"/>
      </w:r>
      <w:r w:rsidRPr="002620CB">
        <w:rPr>
          <w:noProof/>
        </w:rPr>
        <w:t xml:space="preserve">T. T. N. Nguyen &amp; Luu, </w:t>
      </w:r>
      <w:r>
        <w:rPr>
          <w:noProof/>
        </w:rPr>
        <w:t>(</w:t>
      </w:r>
      <w:r w:rsidRPr="002620CB">
        <w:rPr>
          <w:noProof/>
        </w:rPr>
        <w:t>2019)</w:t>
      </w:r>
      <w:r w:rsidRPr="006778B9">
        <w:fldChar w:fldCharType="end"/>
      </w:r>
      <w:r>
        <w:t xml:space="preserve"> </w:t>
      </w:r>
      <w:r w:rsidRPr="008221DA">
        <w:t>that organizational learning is the process of how employees learn new things from people in the organization so that it will affect employee work behavio</w:t>
      </w:r>
      <w:r>
        <w:t>r</w:t>
      </w:r>
      <w:r w:rsidRPr="008221DA">
        <w:t>, increase competence, develop new insights and ideas and will ultimately affect performance organizational. Transformational leadership becomes a locomotive for organizations to transfer and share knowledge to improve organizational performance. Besides that, transformational leadership also promotes a culture of change on an ongoing basis by strengthening organizational innovation and changing work behavio</w:t>
      </w:r>
      <w:r>
        <w:t xml:space="preserve">r </w:t>
      </w:r>
      <w:r>
        <w:fldChar w:fldCharType="begin" w:fldLock="1"/>
      </w:r>
      <w:r>
        <w:instrText>ADDIN CSL_CITATION { "citationItems" : [ { "id" : "ITEM-1", "itemData" : { "DOI" : "10.1108/DLO-08-2019-0177", "author" : [ { "dropping-particle" : "", "family" : "Laura M. Keyes", "given" : "Abraham David Benavides", "non-dropping-particle" : "", "parse-names" : false, "suffix" : "" } ], "container-title" : "International Journal of Organization Theory &amp; Behavior", "id" : "ITEM-1", "issue" : "4", "issued" : { "date-parts" : [ [ "2018" ] ] }, "page" : "226-241", "title" : "Chaos theory, uncertainty, and organizational learning: What the Ebola incident in Dallas teaches us about organizations", "type" : "article-journal", "volume" : "21" }, "uris" : [ "http://www.mendeley.com/documents/?uuid=2a8f53ef-df8e-4d1f-8e51-8ec5a552b99a" ] } ], "mendeley" : { "formattedCitation" : "(Laura M. Keyes, 2018)", "plainTextFormattedCitation" : "(Laura M. Keyes, 2018)", "previouslyFormattedCitation" : "(Laura M. Keyes, 2018)" }, "properties" : { "noteIndex" : 0 }, "schema" : "https://github.com/citation-style-language/schema/raw/master/csl-citation.json" }</w:instrText>
      </w:r>
      <w:r>
        <w:fldChar w:fldCharType="separate"/>
      </w:r>
      <w:r w:rsidRPr="00525128">
        <w:rPr>
          <w:noProof/>
        </w:rPr>
        <w:t>(Laura M. Keyes, 2018)</w:t>
      </w:r>
      <w:r>
        <w:fldChar w:fldCharType="end"/>
      </w:r>
      <w:r w:rsidRPr="008221DA">
        <w:t>.</w:t>
      </w:r>
    </w:p>
    <w:p w14:paraId="22BC6DB8" w14:textId="77777777" w:rsidR="00917F33" w:rsidRPr="0057033A" w:rsidRDefault="00917F33" w:rsidP="00917F33">
      <w:pPr>
        <w:pStyle w:val="Paragraphbody"/>
      </w:pPr>
      <w:r w:rsidRPr="00A717A9">
        <w:t xml:space="preserve">In line with the findings </w:t>
      </w:r>
      <w:r w:rsidRPr="006778B9">
        <w:fldChar w:fldCharType="begin" w:fldLock="1"/>
      </w:r>
      <w:r>
        <w:instrText>ADDIN CSL_CITATION { "citationItems" : [ { "id" : "ITEM-1", "itemData" : { "DOI" : "10.17512/pjms.2016.14.1.15", "ISSN" : "20817452", "abstract" : "Creating knowledge management systems (KMS) is a vital factor in the competitiveness of organizations. Therefore, we have viewed the concept of KMS from the position of its impact on the economic results of the company and the inclusion of innovative components in KMS according to the following blocks: knowledge preservation, search for knowledge in special networks, providing conditions for new knowledge generation, knowledge sharing training. As the analysis showed, in temporary transition economies the level of implementation of the traditional components of KMS is on average slightly more than 50%. Innovative components are used less \u2013 the highest level is 48% (for element \u201cSearch for knowledge in special networks\u201d). Only 12% of the sampled companies have all the features typical for the system in their activity on knowledge management. However, the companies which developed more KMS components are characterized by higher profitability and ratio between the average monthly wage at the enterprise and in the sector. The identified issues related to slow implementation of KMS in the enterprises within transition economies are mainly caused by insufficient awareness regarding the KMS benefits and the possibility of their use as core factor to facilitate asset growth and to enhance human capital reproduction.", "author" : [ { "dropping-particle" : "", "family" : "Mishchuk", "given" : "Halyna", "non-dropping-particle" : "", "parse-names" : false, "suffix" : "" }, { "dropping-particle" : "", "family" : "Bilan", "given" : "Yuriy", "non-dropping-particle" : "", "parse-names" : false, "suffix" : "" }, { "dropping-particle" : "", "family" : "Pavlushenko", "given" : "Liudmyla", "non-dropping-particle" : "", "parse-names" : false, "suffix" : "" } ], "container-title" : "Polish Journal of Management Studies", "id" : "ITEM-1", "issue" : "1", "issued" : { "date-parts" : [ [ "2016" ] ] }, "page" : "163-173", "title" : "Systemy Zarz\u0105dzania Wiedz\u0105: Kwestie Wdra\u017cania Zarz\u0105dzania Kapita\u0142em Ludzkim W Przedsi\u0119biorstwach W Gospodarce W Okresie Transformacji", "type" : "article-journal", "volume" : "14" }, "uris" : [ "http://www.mendeley.com/documents/?uuid=fa7a3db8-e25d-43fa-99a4-9f2867a5bcd8" ] } ], "mendeley" : { "formattedCitation" : "(Mishchuk et al., 2016)", "manualFormatting" : "Mishchuk et al., (2016)", "plainTextFormattedCitation" : "(Mishchuk et al., 2016)", "previouslyFormattedCitation" : "(Mishchuk et al., 2016)" }, "properties" : { "noteIndex" : 0 }, "schema" : "https://github.com/citation-style-language/schema/raw/master/csl-citation.json" }</w:instrText>
      </w:r>
      <w:r w:rsidRPr="006778B9">
        <w:fldChar w:fldCharType="separate"/>
      </w:r>
      <w:r w:rsidRPr="006778B9">
        <w:rPr>
          <w:noProof/>
        </w:rPr>
        <w:t xml:space="preserve">Mishchuk et al., </w:t>
      </w:r>
      <w:r>
        <w:rPr>
          <w:noProof/>
        </w:rPr>
        <w:t>(</w:t>
      </w:r>
      <w:r w:rsidRPr="006778B9">
        <w:rPr>
          <w:noProof/>
        </w:rPr>
        <w:t>2016)</w:t>
      </w:r>
      <w:r w:rsidRPr="006778B9">
        <w:fldChar w:fldCharType="end"/>
      </w:r>
      <w:r w:rsidRPr="006778B9">
        <w:t xml:space="preserve"> </w:t>
      </w:r>
      <w:r w:rsidRPr="00A717A9">
        <w:t>this research found that the implementation of knowledge management systems will create asset growth and increase employee reproduction. Knowledge management with knowledge creation, knowledge acquisition, knowledge transfer, encourages opportunities to achieve competitive advantage through productive and innovative superior resources. This means that the knowledge repository managed by the organization contributes to improving employee competence, encouraging creativity, making the organization a learning organization that will have an impact on added value, increasing market share and increasing company assets.</w:t>
      </w:r>
    </w:p>
    <w:p w14:paraId="31C9FC51" w14:textId="77777777" w:rsidR="00917F33" w:rsidRPr="004D21E3" w:rsidRDefault="00917F33" w:rsidP="00917F33">
      <w:pPr>
        <w:pStyle w:val="Paragraphbody"/>
      </w:pPr>
      <w:r w:rsidRPr="004D21E3">
        <w:t xml:space="preserve">The research result here shows that the professional experience portfolio has a significant impact on adaptation capability to technological change. The research of </w:t>
      </w:r>
      <w:r>
        <w:fldChar w:fldCharType="begin" w:fldLock="1"/>
      </w:r>
      <w:r>
        <w:instrText>ADDIN CSL_CITATION { "citationItems" : [ { "id" : "ITEM-1", "itemData" : { "DOI" : "10.1016/j.jretconser.2015.12.003", "ISSN" : "0969-6989", "author" : [ { "dropping-particle" : "", "family" : "Sony", "given" : "Michael", "non-dropping-particle" : "", "parse-names" : false, "suffix" : "" }, { "dropping-particle" : "", "family" : "Mekoth", "given" : "Nandakumar", "non-dropping-particle" : "", "parse-names" : false, "suffix" : "" } ], "container-title" : "Journal of Retailing and Consumer Services", "id" : "ITEM-1", "issued" : { "date-parts" : [ [ "2016" ] ] }, "page" : "20-32", "publisher" : "Elsevier", "title" : "The relationship between emotional intelligence, frontline employee adaptability, job satisfaction and job performance", "type" : "article-journal", "volume" : "30" }, "uris" : [ "http://www.mendeley.com/documents/?uuid=5b76ebb3-ad1b-4e36-9db6-543f6cb9585b" ] } ], "mendeley" : { "formattedCitation" : "(Sony &amp; Mekoth, 2016)", "manualFormatting" : "Sony &amp; Mekoth (2016)", "plainTextFormattedCitation" : "(Sony &amp; Mekoth, 2016)", "previouslyFormattedCitation" : "(Sony &amp; Mekoth, 2016)" }, "properties" : { "noteIndex" : 0 }, "schema" : "https://github.com/citation-style-language/schema/raw/master/csl-citation.json" }</w:instrText>
      </w:r>
      <w:r>
        <w:fldChar w:fldCharType="separate"/>
      </w:r>
      <w:r>
        <w:rPr>
          <w:noProof/>
        </w:rPr>
        <w:t>Sony &amp; Mekoth</w:t>
      </w:r>
      <w:r w:rsidRPr="00CA3F71">
        <w:rPr>
          <w:noProof/>
        </w:rPr>
        <w:t xml:space="preserve"> </w:t>
      </w:r>
      <w:r>
        <w:rPr>
          <w:noProof/>
        </w:rPr>
        <w:t>(</w:t>
      </w:r>
      <w:r w:rsidRPr="00CA3F71">
        <w:rPr>
          <w:noProof/>
        </w:rPr>
        <w:t>2016)</w:t>
      </w:r>
      <w:r>
        <w:fldChar w:fldCharType="end"/>
      </w:r>
      <w:r w:rsidRPr="004D21E3">
        <w:t xml:space="preserve"> shows the difference between employees with high and low levels of experience in facing changes. Professional experiences help employees to adapt to technological changes, to proactively adjust to changes, to adjust to planned changes, and to use new technology, as expected by the company. According to </w:t>
      </w:r>
      <w:r w:rsidRPr="004D21E3">
        <w:fldChar w:fldCharType="begin" w:fldLock="1"/>
      </w:r>
      <w:r>
        <w:instrText>ADDIN CSL_CITATION { "citationItems" : [ { "id" : "ITEM-1", "itemData" : { "DOI" : "10.1108/JMHTEP-11-2014-0034", "ISSN" : "1755-6228", "author" : [ { "dropping-particle" : "", "family" : "Gulfi", "given" : "Alida", "non-dropping-particle" : "", "parse-names" : false, "suffix" : "" }, { "dropping-particle" : "", "family" : "Heeb", "given" : "Jean-Luc", "non-dropping-particle" : "", "parse-names" : false, "suffix" : "" }, { "dropping-particle" : "", "family" : "Castelli Dransart", "given" : "Dolores Angela", "non-dropping-particle" : "", "parse-names" : false, "suffix" : "" }, { "dropping-particle" : "", "family" : "Gutjahr", "given" : "Elisabeth", "non-dropping-particle" : "", "parse-names" : false, "suffix" : "" } ], "container-title" : "The Journal of Mental Health Training, Education and Practice", "id" : "ITEM-1", "issue" : "4", "issued" : { "date-parts" : [ [ "2015" ] ] }, "page" : "256-267", "title" : "Professional reactions and changes in practice following patient suicide: what do we know about mental health professionals\u2019 profiles?", "type" : "article-journal", "volume" : "10" }, "uris" : [ "http://www.mendeley.com/documents/?uuid=5bc47012-8955-4fc9-9ff2-84e286445a4e" ] } ], "mendeley" : { "formattedCitation" : "(Gulfi et al., 2015)", "manualFormatting" : "Gulfi et al., (2015)", "plainTextFormattedCitation" : "(Gulfi et al., 2015)", "previouslyFormattedCitation" : "(Gulfi et al., 2015)" }, "properties" : { "noteIndex" : 0 }, "schema" : "https://github.com/citation-style-language/schema/raw/master/csl-citation.json" }</w:instrText>
      </w:r>
      <w:r w:rsidRPr="004D21E3">
        <w:fldChar w:fldCharType="separate"/>
      </w:r>
      <w:r w:rsidRPr="004D21E3">
        <w:rPr>
          <w:noProof/>
        </w:rPr>
        <w:t>Gulfi et al., (2015)</w:t>
      </w:r>
      <w:r w:rsidRPr="004D21E3">
        <w:fldChar w:fldCharType="end"/>
      </w:r>
      <w:r w:rsidRPr="004D21E3">
        <w:t xml:space="preserve">, professional experience stimulates better, more effective and efficient systems. </w:t>
      </w:r>
      <w:r w:rsidRPr="004D21E3">
        <w:fldChar w:fldCharType="begin" w:fldLock="1"/>
      </w:r>
      <w:r>
        <w:instrText>ADDIN CSL_CITATION { "citationItems" : [ { "id" : "ITEM-1", "itemData" : { "ISSN" : "1463-578X", "author" : [ { "dropping-particle" : "", "family" : "Poon", "given" : "Joanna", "non-dropping-particle" : "", "parse-names" : false, "suffix" : "" }, { "dropping-particle" : "", "family" : "Brownlow", "given" : "Michael", "non-dropping-particle" : "", "parse-names" : false, "suffix" : "" } ], "container-title" : "Journal of Property Investment &amp; Finance", "id" : "ITEM-1", "issue" : "3", "issued" : { "date-parts" : [ [ "2014" ] ] }, "page" : "256-281", "publisher" : "Emerald Group Publishing Limited", "title" : "Competency expectations for property professionals in Australia", "type" : "article-journal", "volume" : "32" }, "uris" : [ "http://www.mendeley.com/documents/?uuid=d4c717b9-341a-4946-9873-5b9b01a1690d" ] } ], "mendeley" : { "formattedCitation" : "(Poon &amp; Brownlow, 2014)", "manualFormatting" : "Poon &amp; Brownlow (2014)", "plainTextFormattedCitation" : "(Poon &amp; Brownlow, 2014)", "previouslyFormattedCitation" : "(Poon &amp; Brownlow, 2014)" }, "properties" : { "noteIndex" : 0 }, "schema" : "https://github.com/citation-style-language/schema/raw/master/csl-citation.json" }</w:instrText>
      </w:r>
      <w:r w:rsidRPr="004D21E3">
        <w:fldChar w:fldCharType="separate"/>
      </w:r>
      <w:r w:rsidRPr="004D21E3">
        <w:rPr>
          <w:noProof/>
        </w:rPr>
        <w:t>Poon &amp; Brownlow (2014)</w:t>
      </w:r>
      <w:r w:rsidRPr="004D21E3">
        <w:fldChar w:fldCharType="end"/>
      </w:r>
      <w:r w:rsidRPr="004D21E3">
        <w:t xml:space="preserve"> further add that professional experience helps employees adapt to cheaper digital technologies and improve service. Professional knowledge and experience are essential in equipping employees to learn and adapt to new situations. To cope with rapid changes in the business environment, it is important that employees continue learning and practicing so that they can become proficient in the particular skills needed to perform their roles effectively. Basically, employees' capability to develop their career through ongoing learning and improving their levels of professionalism will stimulate them to adapt to various future changes and cope with more difficult challenges in their jobs </w:t>
      </w:r>
      <w:r w:rsidRPr="004D21E3">
        <w:fldChar w:fldCharType="begin" w:fldLock="1"/>
      </w:r>
      <w:r>
        <w:instrText>ADDIN CSL_CITATION { "citationItems" : [ { "id" : "ITEM-1", "itemData" : { "ISBN" : "1366562121119", "author" : [ { "dropping-particle" : "", "family" : "Murphy", "given" : "Claire", "non-dropping-particle" : "", "parse-names" : false, "suffix" : "" }, { "dropping-particle" : "", "family" : "Cross", "given" : "Christine", "non-dropping-particle" : "", "parse-names" : false, "suffix" : "" }, { "dropping-particle" : "", "family" : "Mcguire", "given" : "David", "non-dropping-particle" : "", "parse-names" : false, "suffix" : "" }, { "dropping-particle" : "", "family" : "Murphy", "given" : "Claire", "non-dropping-particle" : "", "parse-names" : false, "suffix" : "" }, { "dropping-particle" : "", "family" : "Cross", "given" : "Christine", "non-dropping-particle" : "", "parse-names" : false, "suffix" : "" }, { "dropping-particle" : "", "family" : "Mcguire", "given" : "David", "non-dropping-particle" : "", "parse-names" : false, "suffix" : "" } ], "container-title" : "Journal of European Industrial Training", "id" : "ITEM-1", "issue" : "5", "issued" : { "date-parts" : [ [ "2006" ] ] }, "page" : "365-384", "title" : "The motivation of nurses to participate in continuing professional education in Ireland", "type" : "article-journal", "volume" : "30" }, "uris" : [ "http://www.mendeley.com/documents/?uuid=f01dc1b6-dc5f-4e4d-a290-70ec105881d6" ] } ], "mendeley" : { "formattedCitation" : "(Murphy et al., 2006)", "plainTextFormattedCitation" : "(Murphy et al., 2006)", "previouslyFormattedCitation" : "(Murphy et al., 2006)" }, "properties" : { "noteIndex" : 0 }, "schema" : "https://github.com/citation-style-language/schema/raw/master/csl-citation.json" }</w:instrText>
      </w:r>
      <w:r w:rsidRPr="004D21E3">
        <w:fldChar w:fldCharType="separate"/>
      </w:r>
      <w:r w:rsidRPr="004D21E3">
        <w:rPr>
          <w:noProof/>
        </w:rPr>
        <w:t>(Murphy et al., 2006)</w:t>
      </w:r>
      <w:r w:rsidRPr="004D21E3">
        <w:fldChar w:fldCharType="end"/>
      </w:r>
      <w:r w:rsidRPr="004D21E3">
        <w:t>.</w:t>
      </w:r>
    </w:p>
    <w:p w14:paraId="2CE18C6A" w14:textId="77777777" w:rsidR="00917F33" w:rsidRPr="001F4C4B" w:rsidRDefault="00917F33" w:rsidP="00917F33">
      <w:pPr>
        <w:pStyle w:val="Heading1"/>
      </w:pPr>
      <w:r>
        <w:t>Conclusions, research implications and r</w:t>
      </w:r>
      <w:r w:rsidRPr="001F4C4B">
        <w:t xml:space="preserve">esearch </w:t>
      </w:r>
      <w:r>
        <w:t>l</w:t>
      </w:r>
      <w:r w:rsidRPr="001F4C4B">
        <w:t>imitations</w:t>
      </w:r>
    </w:p>
    <w:p w14:paraId="63D481F1" w14:textId="77777777" w:rsidR="00917F33" w:rsidRPr="00FB078C" w:rsidRDefault="00917F33" w:rsidP="00917F33">
      <w:pPr>
        <w:pStyle w:val="Paragraphbody"/>
        <w:rPr>
          <w:color w:val="FF0000"/>
        </w:rPr>
      </w:pPr>
      <w:r w:rsidRPr="00FB078C">
        <w:rPr>
          <w:color w:val="FF0000"/>
        </w:rPr>
        <w:t>The result shows that there is a significant positive effect of professional experience portfolio on pro-commitment to learning and on adaptability to technological change. The result also shows that there is a significant positive effect of commitment to learning and adaptability to technological change on employee performance. However, there is no significant influence of professional experience portfolio on performance. Both pro-commitment to learning and adaptability to technological change are both able to fully mediate the influence of the professional experience portfolio on performance.</w:t>
      </w:r>
    </w:p>
    <w:p w14:paraId="6A89E6AC" w14:textId="77777777" w:rsidR="00917F33" w:rsidRPr="00FB078C" w:rsidRDefault="00917F33" w:rsidP="00917F33">
      <w:pPr>
        <w:pStyle w:val="Paragraphbody"/>
        <w:rPr>
          <w:color w:val="FF0000"/>
        </w:rPr>
      </w:pPr>
      <w:r w:rsidRPr="00FB078C">
        <w:rPr>
          <w:color w:val="FF0000"/>
        </w:rPr>
        <w:t xml:space="preserve">An important finding from this study is that the portfolio of professional experience has the strongest impact on increasing the commitment to learning. Meanwhile, the best strategy is the role of the professional experience portfolio in encouraging pro-commitment to learning and improving employee performance. Theoretically, linear experience and cross-field experience dominate the understanding of the professional experience portfolio. The empirical results also support this view, which is indicated by the greatest value in linear experience and cross-field experience in increasing pro-commitment to learning. </w:t>
      </w:r>
    </w:p>
    <w:p w14:paraId="47633272" w14:textId="77777777" w:rsidR="00917F33" w:rsidRPr="00FB078C" w:rsidRDefault="00917F33" w:rsidP="00917F33">
      <w:pPr>
        <w:pStyle w:val="Paragraphbody"/>
        <w:rPr>
          <w:color w:val="FF0000"/>
        </w:rPr>
      </w:pPr>
      <w:r w:rsidRPr="00FB078C">
        <w:rPr>
          <w:color w:val="FF0000"/>
        </w:rPr>
        <w:t>The implication of this research is that the company is expected to be able to focus on improving linear experience by developing soft skills, technical skills and service improvement that are in line with the business goals of PT. POS. In addition, the company is expected to also enhance the experience of cross-cutting managers / supervisors, because PT POS's business focus is not only serving freight forwarding, but has expanded to broader services such as; financial services, property services and also retail. This study is expected to increase pro-commitment to learning, which is demonstrated by sustainable commitment to create progress by innovating in superior service, providing ideas for improvement and making the company a leader in the POS and courier services business. Pro-commitment to learning is done by increasing the involvement of managers / supervisors in the company's strategic decisions, providing space for regular and ongoing discussion, and giving authority according to their tasks. Managers and supervisors play the role of middle managers, so they have a close relationship with employees and also strategic partners for policy makers (superiors). Managers / supervisors understand the business on a strategic / policy level as well as technical / field, so that in facing changes and development of business cores that tend to be dynamic, they are at the forefront of the company.</w:t>
      </w:r>
    </w:p>
    <w:p w14:paraId="439310B6" w14:textId="77777777" w:rsidR="00917F33" w:rsidRPr="00FB078C" w:rsidRDefault="00917F33" w:rsidP="00917F33">
      <w:pPr>
        <w:pStyle w:val="Paragraphbody"/>
        <w:rPr>
          <w:color w:val="FF0000"/>
        </w:rPr>
      </w:pPr>
      <w:r w:rsidRPr="00FB078C">
        <w:rPr>
          <w:color w:val="FF0000"/>
        </w:rPr>
        <w:t>The limitations of this study only use one analysis unit, PT Pos Indonesia, area VI, Yogyakarta and Central Java which is engaged in services, which has the same characteristics and objects, so this research has limitations in generalization. In the future, this research can be developed in various organizational analysis units or fields. In approving the research design data used is a cross section, it is hoped that further research can be used to use a longitudinal research design.</w:t>
      </w:r>
    </w:p>
    <w:p w14:paraId="7BF4F306" w14:textId="77777777" w:rsidR="00917F33" w:rsidRPr="00F76A22" w:rsidRDefault="00917F33" w:rsidP="00917F33">
      <w:pPr>
        <w:ind w:right="4" w:firstLine="720"/>
        <w:jc w:val="both"/>
      </w:pPr>
    </w:p>
    <w:p w14:paraId="7F1C365F" w14:textId="77777777" w:rsidR="00917F33" w:rsidRDefault="00917F33" w:rsidP="00917F33">
      <w:pPr>
        <w:widowControl w:val="0"/>
        <w:autoSpaceDE w:val="0"/>
        <w:autoSpaceDN w:val="0"/>
        <w:adjustRightInd w:val="0"/>
        <w:spacing w:before="120"/>
        <w:ind w:left="480" w:hanging="480"/>
        <w:rPr>
          <w:rFonts w:asciiTheme="majorBidi" w:hAnsiTheme="majorBidi" w:cstheme="majorBidi"/>
          <w:b/>
          <w:bCs/>
          <w:kern w:val="32"/>
          <w:sz w:val="23"/>
          <w:szCs w:val="23"/>
          <w:lang w:val="id-ID"/>
        </w:rPr>
      </w:pPr>
      <w:r w:rsidRPr="00656FA7">
        <w:rPr>
          <w:rFonts w:asciiTheme="majorBidi" w:hAnsiTheme="majorBidi" w:cstheme="majorBidi"/>
          <w:b/>
          <w:bCs/>
          <w:kern w:val="32"/>
          <w:sz w:val="23"/>
          <w:szCs w:val="23"/>
          <w:lang w:val="id-ID"/>
        </w:rPr>
        <w:t>Reference</w:t>
      </w:r>
    </w:p>
    <w:p w14:paraId="785ECAD3" w14:textId="77777777" w:rsidR="00917F33" w:rsidRDefault="00917F33" w:rsidP="00917F33">
      <w:pPr>
        <w:pStyle w:val="References"/>
      </w:pPr>
      <w:r>
        <w:rPr>
          <w:rFonts w:eastAsia="Times New Roman"/>
          <w:noProof w:val="0"/>
          <w:sz w:val="24"/>
          <w:lang w:val="id-ID"/>
        </w:rPr>
        <w:fldChar w:fldCharType="begin" w:fldLock="1"/>
      </w:r>
      <w:r>
        <w:rPr>
          <w:lang w:val="id-ID"/>
        </w:rPr>
        <w:instrText xml:space="preserve">ADDIN Mendeley Bibliography CSL_BIBLIOGRAPHY </w:instrText>
      </w:r>
      <w:r>
        <w:rPr>
          <w:rFonts w:eastAsia="Times New Roman"/>
          <w:noProof w:val="0"/>
          <w:sz w:val="24"/>
          <w:lang w:val="id-ID"/>
        </w:rPr>
        <w:fldChar w:fldCharType="separate"/>
      </w:r>
      <w:r>
        <w:t xml:space="preserve">Argote, L. (2011). Organizational learning research: Past, present and future. </w:t>
      </w:r>
      <w:r>
        <w:rPr>
          <w:i/>
          <w:iCs/>
        </w:rPr>
        <w:t>Management Learning</w:t>
      </w:r>
      <w:r>
        <w:t xml:space="preserve">, </w:t>
      </w:r>
      <w:r>
        <w:rPr>
          <w:i/>
          <w:iCs/>
        </w:rPr>
        <w:t>42</w:t>
      </w:r>
      <w:r>
        <w:t xml:space="preserve">(4), 439–446. </w:t>
      </w:r>
      <w:r>
        <w:rPr>
          <w:rStyle w:val="Hyperlink"/>
        </w:rPr>
        <w:t>https://doi.org/10.1177/1350507611408217</w:t>
      </w:r>
    </w:p>
    <w:p w14:paraId="67980BA4" w14:textId="77777777" w:rsidR="00917F33" w:rsidRDefault="00917F33" w:rsidP="00917F33">
      <w:pPr>
        <w:pStyle w:val="References"/>
      </w:pPr>
      <w:r>
        <w:t xml:space="preserve">Argyris, C., &amp; Schon, D. (1978). </w:t>
      </w:r>
      <w:r>
        <w:rPr>
          <w:i/>
          <w:iCs/>
        </w:rPr>
        <w:t>Organizational learning: A theory of action approach</w:t>
      </w:r>
      <w:r>
        <w:t>. Reading, MA: Addision Wesley.</w:t>
      </w:r>
    </w:p>
    <w:p w14:paraId="4F0390AF" w14:textId="77777777" w:rsidR="00917F33" w:rsidRDefault="00917F33" w:rsidP="00917F33">
      <w:pPr>
        <w:pStyle w:val="References"/>
      </w:pPr>
      <w:r>
        <w:t xml:space="preserve">Bazin, Y., &amp; Aubert-Tarby, C. (2013). Dressing professional, an esthetic experience of professions. </w:t>
      </w:r>
      <w:r>
        <w:rPr>
          <w:i/>
          <w:iCs/>
        </w:rPr>
        <w:t>Society and Business Review</w:t>
      </w:r>
      <w:r>
        <w:t xml:space="preserve">, </w:t>
      </w:r>
      <w:r>
        <w:rPr>
          <w:i/>
          <w:iCs/>
        </w:rPr>
        <w:t>8</w:t>
      </w:r>
      <w:r>
        <w:t>(3), 251–268.</w:t>
      </w:r>
      <w:r>
        <w:rPr>
          <w:rStyle w:val="Hyperlink"/>
        </w:rPr>
        <w:t xml:space="preserve"> https://doi.org/http://dx.doi.org/10.1108/SBR-04-2013-0031</w:t>
      </w:r>
    </w:p>
    <w:p w14:paraId="56D257F3" w14:textId="77777777" w:rsidR="00917F33" w:rsidRDefault="00917F33" w:rsidP="00917F33">
      <w:pPr>
        <w:pStyle w:val="References"/>
      </w:pPr>
      <w:r>
        <w:t xml:space="preserve">Bharadwaj, A. S. (2000). A resource-based perspective on information technology capability and firm performance: an empirical investigation. </w:t>
      </w:r>
      <w:r>
        <w:rPr>
          <w:i/>
          <w:iCs/>
        </w:rPr>
        <w:t>MIS Quarterly</w:t>
      </w:r>
      <w:r>
        <w:t xml:space="preserve">, 169–196. </w:t>
      </w:r>
      <w:r>
        <w:rPr>
          <w:rStyle w:val="Hyperlink"/>
        </w:rPr>
        <w:t>https://doi.org/10.2307/3250983</w:t>
      </w:r>
    </w:p>
    <w:p w14:paraId="5E84DEF7" w14:textId="77777777" w:rsidR="00917F33" w:rsidRDefault="00917F33" w:rsidP="00917F33">
      <w:pPr>
        <w:pStyle w:val="References"/>
      </w:pPr>
      <w:r>
        <w:t xml:space="preserve">Bolatan, G. I. S., Gozlu, S., Alpkan, L., &amp; Zaim, S. (2016). The impact of technology transfer performance on total quality management and quality performance. </w:t>
      </w:r>
      <w:r>
        <w:rPr>
          <w:i/>
          <w:iCs/>
        </w:rPr>
        <w:t>Procedia-Social and Behavioral Sciences</w:t>
      </w:r>
      <w:r>
        <w:t xml:space="preserve">, </w:t>
      </w:r>
      <w:r>
        <w:rPr>
          <w:i/>
          <w:iCs/>
        </w:rPr>
        <w:t>235</w:t>
      </w:r>
      <w:r>
        <w:t xml:space="preserve">, 746–755. </w:t>
      </w:r>
      <w:r>
        <w:rPr>
          <w:rStyle w:val="Hyperlink"/>
        </w:rPr>
        <w:t>https://doi.org/10.1016/j.sbspro.2016.11.076</w:t>
      </w:r>
    </w:p>
    <w:p w14:paraId="2A6A93D5" w14:textId="77777777" w:rsidR="00917F33" w:rsidRDefault="00917F33" w:rsidP="00917F33">
      <w:pPr>
        <w:pStyle w:val="References"/>
      </w:pPr>
      <w:r>
        <w:t xml:space="preserve">Borgia, C. R., Siegel, P. H., &amp; Ortiz, D. (2014). A survival analysis of tax professionals’ performance and internship experience. </w:t>
      </w:r>
      <w:r>
        <w:rPr>
          <w:i/>
          <w:iCs/>
        </w:rPr>
        <w:t>Accounting Research Journal,</w:t>
      </w:r>
      <w:r>
        <w:t xml:space="preserve"> </w:t>
      </w:r>
      <w:r>
        <w:rPr>
          <w:i/>
          <w:iCs/>
        </w:rPr>
        <w:t>27</w:t>
      </w:r>
      <w:r>
        <w:t xml:space="preserve">(3), 266–285. </w:t>
      </w:r>
      <w:r>
        <w:rPr>
          <w:rStyle w:val="Hyperlink"/>
        </w:rPr>
        <w:t>https://doi.org/10.1108/ARJ-04-2013-0018</w:t>
      </w:r>
    </w:p>
    <w:p w14:paraId="55B60DA5" w14:textId="77777777" w:rsidR="00917F33" w:rsidRDefault="00917F33" w:rsidP="00917F33">
      <w:pPr>
        <w:pStyle w:val="References"/>
      </w:pPr>
      <w:r>
        <w:t xml:space="preserve">Brzeziński, S., &amp; Bąk, A. (2015). Management of employees’ commitment in the process of organization transformation. </w:t>
      </w:r>
      <w:r>
        <w:rPr>
          <w:i/>
          <w:iCs/>
        </w:rPr>
        <w:t>Procedia Economics and Finance</w:t>
      </w:r>
      <w:r>
        <w:t xml:space="preserve">, </w:t>
      </w:r>
      <w:r>
        <w:rPr>
          <w:i/>
          <w:iCs/>
        </w:rPr>
        <w:t>27</w:t>
      </w:r>
      <w:r>
        <w:t>(15), 109–115.</w:t>
      </w:r>
      <w:r>
        <w:rPr>
          <w:rStyle w:val="Hyperlink"/>
        </w:rPr>
        <w:t xml:space="preserve"> https://doi.org/10.1016/S2212-5671(15)00979-X</w:t>
      </w:r>
    </w:p>
    <w:p w14:paraId="443666C8" w14:textId="77777777" w:rsidR="00917F33" w:rsidRDefault="00917F33" w:rsidP="00917F33">
      <w:pPr>
        <w:pStyle w:val="References"/>
      </w:pPr>
      <w:r>
        <w:t xml:space="preserve">Buil, I., Martínez, E., &amp; Matute, J. (2019). Transformational leadership and employee performance: The role of identification, engagement and proactive personality. </w:t>
      </w:r>
      <w:r>
        <w:rPr>
          <w:i/>
          <w:iCs/>
        </w:rPr>
        <w:t>International Journal of Hospitality Management</w:t>
      </w:r>
      <w:r>
        <w:t xml:space="preserve">, </w:t>
      </w:r>
      <w:r>
        <w:rPr>
          <w:i/>
          <w:iCs/>
        </w:rPr>
        <w:t>77</w:t>
      </w:r>
      <w:r>
        <w:t xml:space="preserve">, 64–75. </w:t>
      </w:r>
      <w:r>
        <w:rPr>
          <w:rStyle w:val="Hyperlink"/>
        </w:rPr>
        <w:t>https://doi.org/10.1016/j.ijhm.2018.06.014</w:t>
      </w:r>
    </w:p>
    <w:p w14:paraId="7611D973" w14:textId="77777777" w:rsidR="00917F33" w:rsidRDefault="00917F33" w:rsidP="00917F33">
      <w:pPr>
        <w:pStyle w:val="References"/>
        <w:rPr>
          <w:rStyle w:val="Hyperlink"/>
        </w:rPr>
      </w:pPr>
      <w:r>
        <w:t xml:space="preserve">Chang, P.-C., &amp; Chen, S.-J. (2011). Crossing the level of employee’s performance: HPWS, affective commitment, human capital, and employee job performance in professional service organizations. </w:t>
      </w:r>
      <w:r>
        <w:rPr>
          <w:i/>
          <w:iCs/>
        </w:rPr>
        <w:t>The International Journal of Human Resource Management</w:t>
      </w:r>
      <w:r>
        <w:t xml:space="preserve">, </w:t>
      </w:r>
      <w:r>
        <w:rPr>
          <w:i/>
          <w:iCs/>
        </w:rPr>
        <w:t>22</w:t>
      </w:r>
      <w:r>
        <w:t xml:space="preserve">(4), 883–901. </w:t>
      </w:r>
      <w:r>
        <w:rPr>
          <w:rStyle w:val="Hyperlink"/>
        </w:rPr>
        <w:t>http://dx.doi.org/10.1080/09585192.2011.555130</w:t>
      </w:r>
    </w:p>
    <w:p w14:paraId="25D005F8" w14:textId="77777777" w:rsidR="00917F33" w:rsidRDefault="00917F33" w:rsidP="00917F33">
      <w:pPr>
        <w:pStyle w:val="References"/>
      </w:pPr>
      <w:r>
        <w:t xml:space="preserve">Eshlaghy, A. T., Maatofi, A., &amp; Branch, G. (2011). Learning orientation, innovation and performance: Evidence from small-sized business firms in Iran. </w:t>
      </w:r>
      <w:r>
        <w:rPr>
          <w:i/>
          <w:iCs/>
        </w:rPr>
        <w:t>European Journal of Social Sciences</w:t>
      </w:r>
      <w:r>
        <w:t xml:space="preserve">, </w:t>
      </w:r>
      <w:r>
        <w:rPr>
          <w:i/>
          <w:iCs/>
        </w:rPr>
        <w:t>19</w:t>
      </w:r>
      <w:r>
        <w:t>(1), 114–122.</w:t>
      </w:r>
    </w:p>
    <w:p w14:paraId="3881B1DE" w14:textId="77777777" w:rsidR="00917F33" w:rsidRDefault="00917F33" w:rsidP="00917F33">
      <w:pPr>
        <w:pStyle w:val="References"/>
      </w:pPr>
      <w:r>
        <w:t xml:space="preserve">Fu, X., Kang, J., &amp; Wiitala, J. J. H. J. (2020). Investigating the consequences of theme park experience through the lenses of self-congruity and flow. </w:t>
      </w:r>
      <w:r>
        <w:rPr>
          <w:i/>
          <w:iCs/>
        </w:rPr>
        <w:t>International Journal of Contemporary Hospitality Management</w:t>
      </w:r>
      <w:r>
        <w:t xml:space="preserve">, </w:t>
      </w:r>
      <w:r>
        <w:rPr>
          <w:i/>
          <w:iCs/>
        </w:rPr>
        <w:t>32</w:t>
      </w:r>
      <w:r>
        <w:t xml:space="preserve">(3), 1181–1199. </w:t>
      </w:r>
      <w:r>
        <w:rPr>
          <w:rStyle w:val="Hyperlink"/>
        </w:rPr>
        <w:t>https://doi.org/10.1108/IJCHM-06-2019-0522</w:t>
      </w:r>
    </w:p>
    <w:p w14:paraId="62916305" w14:textId="77777777" w:rsidR="00917F33" w:rsidRDefault="00917F33" w:rsidP="00917F33">
      <w:pPr>
        <w:pStyle w:val="References"/>
      </w:pPr>
      <w:r>
        <w:t xml:space="preserve">Glaub, M. E., Frese, M., Fischer, S., &amp; Hoppe, M. (2014). Increasing personal initiative in small business managers or owners leads to entrepreneurial success : A theory-based controlled randomized field intervention for evidence-based management. </w:t>
      </w:r>
      <w:r>
        <w:rPr>
          <w:i/>
          <w:iCs/>
        </w:rPr>
        <w:t>Academy of Management Learning &amp; Education</w:t>
      </w:r>
      <w:r>
        <w:t xml:space="preserve">, </w:t>
      </w:r>
      <w:r>
        <w:rPr>
          <w:i/>
          <w:iCs/>
        </w:rPr>
        <w:t>13</w:t>
      </w:r>
      <w:r>
        <w:t xml:space="preserve">(3), 354–379. </w:t>
      </w:r>
      <w:r>
        <w:rPr>
          <w:rStyle w:val="Hyperlink"/>
        </w:rPr>
        <w:t>https://doi.org/10.5465/amle.2013.0234</w:t>
      </w:r>
    </w:p>
    <w:p w14:paraId="7E909AB1" w14:textId="77777777" w:rsidR="00917F33" w:rsidRDefault="00917F33" w:rsidP="00917F33">
      <w:pPr>
        <w:pStyle w:val="References"/>
      </w:pPr>
      <w:r>
        <w:t xml:space="preserve">Gonzalez, R. V. D., &amp; de Melo, T. M. (2018). The effects of organization context on knowledge exploration and exploitation. </w:t>
      </w:r>
      <w:r>
        <w:rPr>
          <w:i/>
          <w:iCs/>
        </w:rPr>
        <w:t>Journal of Business Research</w:t>
      </w:r>
      <w:r>
        <w:t xml:space="preserve">, </w:t>
      </w:r>
      <w:r>
        <w:rPr>
          <w:i/>
          <w:iCs/>
        </w:rPr>
        <w:t>90</w:t>
      </w:r>
      <w:r>
        <w:t xml:space="preserve">(October 2017), 215–225. </w:t>
      </w:r>
      <w:r>
        <w:rPr>
          <w:rStyle w:val="Hyperlink"/>
        </w:rPr>
        <w:t>https://doi.org/10.1016/j.jbusres.2018.05.025</w:t>
      </w:r>
    </w:p>
    <w:p w14:paraId="0C8B7D60" w14:textId="77777777" w:rsidR="00917F33" w:rsidRDefault="00917F33" w:rsidP="00917F33">
      <w:pPr>
        <w:pStyle w:val="References"/>
      </w:pPr>
      <w:r>
        <w:t xml:space="preserve">Gulfi, A., Heeb, J.-L., Castelli Dransart, D. A., &amp; Gutjahr, E. (2015). Professional reactions and changes in practice following patient suicide: what do we know about mental health professionals’ profiles? </w:t>
      </w:r>
      <w:r>
        <w:rPr>
          <w:i/>
          <w:iCs/>
        </w:rPr>
        <w:t>The Journal of Mental Health Training, Education and Practice</w:t>
      </w:r>
      <w:r>
        <w:t xml:space="preserve">, </w:t>
      </w:r>
      <w:r>
        <w:rPr>
          <w:i/>
          <w:iCs/>
        </w:rPr>
        <w:t>10</w:t>
      </w:r>
      <w:r>
        <w:t xml:space="preserve">(4), 256–267. </w:t>
      </w:r>
      <w:r>
        <w:rPr>
          <w:rStyle w:val="Hyperlink"/>
        </w:rPr>
        <w:t>https://doi.org/10.1108/JMHTEP-11-2014-0034</w:t>
      </w:r>
    </w:p>
    <w:p w14:paraId="5E559621" w14:textId="77777777" w:rsidR="00917F33" w:rsidRDefault="00917F33" w:rsidP="00917F33">
      <w:pPr>
        <w:pStyle w:val="References"/>
      </w:pPr>
      <w:r>
        <w:t xml:space="preserve">Hair, J. F., Anderson, R. E., Babin, B. J., &amp; Black, W. C. (2010). </w:t>
      </w:r>
      <w:r>
        <w:rPr>
          <w:i/>
          <w:iCs/>
        </w:rPr>
        <w:t>Multivariate data analysis: A global perspective</w:t>
      </w:r>
      <w:r>
        <w:t xml:space="preserve"> (Vol. 7). Pearson Upper Saddle River, NJ.</w:t>
      </w:r>
    </w:p>
    <w:p w14:paraId="146D4A0E" w14:textId="77777777" w:rsidR="00917F33" w:rsidRDefault="00917F33" w:rsidP="00917F33">
      <w:pPr>
        <w:pStyle w:val="References"/>
      </w:pPr>
      <w:r>
        <w:t xml:space="preserve">He, J. (2014). Technology adoption in hospitals – the roles of system integration and technology support. </w:t>
      </w:r>
      <w:r>
        <w:rPr>
          <w:i/>
          <w:iCs/>
        </w:rPr>
        <w:t>AMCIS 2014 Proceedings</w:t>
      </w:r>
      <w:r>
        <w:t>, 1–9.</w:t>
      </w:r>
    </w:p>
    <w:p w14:paraId="3FBEBB4D" w14:textId="77777777" w:rsidR="00917F33" w:rsidRDefault="00917F33" w:rsidP="00917F33">
      <w:pPr>
        <w:pStyle w:val="References"/>
      </w:pPr>
      <w:r>
        <w:t xml:space="preserve">Hooper, D., Coughlan, J., &amp; Mullen, M. (2008). Structural Equation Modelling: Guidelines for determining model fit. </w:t>
      </w:r>
      <w:r>
        <w:rPr>
          <w:i/>
          <w:iCs/>
        </w:rPr>
        <w:t>Electronic Journal of Business Research Methods</w:t>
      </w:r>
      <w:r>
        <w:t xml:space="preserve">, </w:t>
      </w:r>
      <w:r>
        <w:rPr>
          <w:i/>
          <w:iCs/>
        </w:rPr>
        <w:t>6</w:t>
      </w:r>
      <w:r>
        <w:t>(1), 53–60.</w:t>
      </w:r>
    </w:p>
    <w:p w14:paraId="13244601" w14:textId="77777777" w:rsidR="00917F33" w:rsidRDefault="00917F33" w:rsidP="00917F33">
      <w:pPr>
        <w:pStyle w:val="References"/>
      </w:pPr>
      <w:r>
        <w:t xml:space="preserve">Jabbouri, N. I., Sirona, R., Zahari, I., &amp; Khalida, M. (2016). Impact of information technology infrastructure on innovation performance: An empirical study on private Universities in Iraq. </w:t>
      </w:r>
      <w:r>
        <w:rPr>
          <w:i/>
          <w:iCs/>
        </w:rPr>
        <w:t>Procedia Economics and Finance</w:t>
      </w:r>
      <w:r>
        <w:t xml:space="preserve">, </w:t>
      </w:r>
      <w:r>
        <w:rPr>
          <w:i/>
          <w:iCs/>
        </w:rPr>
        <w:t>39</w:t>
      </w:r>
      <w:r>
        <w:t>(861-869).</w:t>
      </w:r>
    </w:p>
    <w:p w14:paraId="719E3D59" w14:textId="77777777" w:rsidR="00917F33" w:rsidRDefault="00917F33" w:rsidP="00917F33">
      <w:pPr>
        <w:pStyle w:val="References"/>
      </w:pPr>
      <w:r>
        <w:t xml:space="preserve">Khojamli, M., Habibi, M., Hossein, M., &amp; Kazemiyan, M. (2014). The relationship between work experience, motivation, training and stress with labor productivity. </w:t>
      </w:r>
      <w:r>
        <w:rPr>
          <w:i/>
          <w:iCs/>
        </w:rPr>
        <w:t>Kuwait Chapter of the Arabian Journal of Business and Management Review</w:t>
      </w:r>
      <w:r>
        <w:t xml:space="preserve">, </w:t>
      </w:r>
      <w:r>
        <w:rPr>
          <w:i/>
          <w:iCs/>
        </w:rPr>
        <w:t>3</w:t>
      </w:r>
      <w:r>
        <w:t>(11a), 31–35.</w:t>
      </w:r>
    </w:p>
    <w:p w14:paraId="5EA466E2" w14:textId="77777777" w:rsidR="00917F33" w:rsidRDefault="00917F33" w:rsidP="00917F33">
      <w:pPr>
        <w:pStyle w:val="References"/>
      </w:pPr>
      <w:r>
        <w:t xml:space="preserve">Kumar, M., Chengappa, S., &amp; Pandya, S. (2013). Capability development: Enhancing employee potential through strategic competency building and people development. </w:t>
      </w:r>
      <w:r>
        <w:rPr>
          <w:i/>
          <w:iCs/>
        </w:rPr>
        <w:t>International Journal of Management and Social Sciences Research</w:t>
      </w:r>
      <w:r>
        <w:t xml:space="preserve">, </w:t>
      </w:r>
      <w:r>
        <w:rPr>
          <w:i/>
          <w:iCs/>
        </w:rPr>
        <w:t>2</w:t>
      </w:r>
      <w:r>
        <w:t>(2), 27–28.</w:t>
      </w:r>
    </w:p>
    <w:p w14:paraId="640BC723" w14:textId="77777777" w:rsidR="00917F33" w:rsidRDefault="00917F33" w:rsidP="00917F33">
      <w:pPr>
        <w:pStyle w:val="References"/>
      </w:pPr>
      <w:r>
        <w:t xml:space="preserve">Laura M. Keyes, A. D. B. (2018). Chaos theory, uncertainty, and organizational learning: What the Ebola incident in Dallas teaches us about organizations. </w:t>
      </w:r>
      <w:r>
        <w:rPr>
          <w:i/>
          <w:iCs/>
        </w:rPr>
        <w:t>International Journal of Organization Theory &amp; Behavior</w:t>
      </w:r>
      <w:r>
        <w:t xml:space="preserve">, </w:t>
      </w:r>
      <w:r>
        <w:rPr>
          <w:i/>
          <w:iCs/>
        </w:rPr>
        <w:t>21</w:t>
      </w:r>
      <w:r>
        <w:t xml:space="preserve">(4), 226–241. </w:t>
      </w:r>
      <w:r>
        <w:rPr>
          <w:rStyle w:val="Hyperlink"/>
        </w:rPr>
        <w:t>https://doi.org/10.1108/DLO-08-2019-0177</w:t>
      </w:r>
    </w:p>
    <w:p w14:paraId="32E37E28" w14:textId="77777777" w:rsidR="00917F33" w:rsidRDefault="00917F33" w:rsidP="00917F33">
      <w:pPr>
        <w:pStyle w:val="References"/>
      </w:pPr>
      <w:r>
        <w:t xml:space="preserve">Lee, H., Choi, H., Lee, J., Min, J., &amp; Lee, H. (2016). Impact of IT investment on firm performance based on Technology IT Architecture. </w:t>
      </w:r>
      <w:r>
        <w:rPr>
          <w:i/>
          <w:iCs/>
        </w:rPr>
        <w:t>Procedia Computer Science</w:t>
      </w:r>
      <w:r>
        <w:t xml:space="preserve">, </w:t>
      </w:r>
      <w:r>
        <w:rPr>
          <w:i/>
          <w:iCs/>
        </w:rPr>
        <w:t>91</w:t>
      </w:r>
      <w:r>
        <w:t>, 652–661.</w:t>
      </w:r>
      <w:r>
        <w:rPr>
          <w:rStyle w:val="Hyperlink"/>
        </w:rPr>
        <w:t xml:space="preserve"> https://doi.org/10.1016/j.procs.2016.07.164</w:t>
      </w:r>
    </w:p>
    <w:p w14:paraId="5C6B8258" w14:textId="77777777" w:rsidR="00917F33" w:rsidRDefault="00917F33" w:rsidP="00917F33">
      <w:pPr>
        <w:pStyle w:val="References"/>
      </w:pPr>
      <w:r>
        <w:t xml:space="preserve">Mahony, D. M., Klimchak, M., Morrell, D. L., Hill, R., &amp; Carolina, S. (2012). The portability of career-long work experience propensity to trust as a substitute for valuable work experience. </w:t>
      </w:r>
      <w:r>
        <w:rPr>
          <w:i/>
          <w:iCs/>
        </w:rPr>
        <w:t>Career Development International</w:t>
      </w:r>
      <w:r>
        <w:t xml:space="preserve">, </w:t>
      </w:r>
      <w:r>
        <w:rPr>
          <w:i/>
          <w:iCs/>
        </w:rPr>
        <w:t>17</w:t>
      </w:r>
      <w:r>
        <w:t xml:space="preserve">(7), 606–625. </w:t>
      </w:r>
      <w:r>
        <w:rPr>
          <w:rStyle w:val="Hyperlink"/>
        </w:rPr>
        <w:t>https://doi.org/10.1108/13620431211283779</w:t>
      </w:r>
    </w:p>
    <w:p w14:paraId="2374648E" w14:textId="77777777" w:rsidR="00917F33" w:rsidRDefault="00917F33" w:rsidP="00917F33">
      <w:pPr>
        <w:pStyle w:val="References"/>
      </w:pPr>
      <w:r>
        <w:t xml:space="preserve">Maurer, T. J., &amp; Weiss, E. M. (2010). Continuous learning skill demands: Associations with managerial job content, age, and experience. </w:t>
      </w:r>
      <w:r>
        <w:rPr>
          <w:i/>
          <w:iCs/>
        </w:rPr>
        <w:t>J Bus Psychol</w:t>
      </w:r>
      <w:r>
        <w:t xml:space="preserve">, </w:t>
      </w:r>
      <w:r>
        <w:rPr>
          <w:i/>
          <w:iCs/>
        </w:rPr>
        <w:t>25</w:t>
      </w:r>
      <w:r>
        <w:t xml:space="preserve">, 1–13. </w:t>
      </w:r>
      <w:r>
        <w:rPr>
          <w:rStyle w:val="Hyperlink"/>
        </w:rPr>
        <w:t>https://doi.org/10.1007/s10869-009-9126-0</w:t>
      </w:r>
    </w:p>
    <w:p w14:paraId="4342555B" w14:textId="77777777" w:rsidR="00917F33" w:rsidRDefault="00917F33" w:rsidP="00917F33">
      <w:pPr>
        <w:pStyle w:val="References"/>
      </w:pPr>
      <w:r>
        <w:t xml:space="preserve">Mishchuk, H., Bilan, Y., &amp; Pavlushenko, L. (2016). Systemy Zarządzania Wiedzą: Kwestie Wdrażania Zarządzania Kapitałem Ludzkim W Przedsiębiorstwach W Gospodarce W Okresie Transformacji. </w:t>
      </w:r>
      <w:r>
        <w:rPr>
          <w:i/>
          <w:iCs/>
        </w:rPr>
        <w:t>Polish Journal of Management Studies</w:t>
      </w:r>
      <w:r>
        <w:t xml:space="preserve">, </w:t>
      </w:r>
      <w:r>
        <w:rPr>
          <w:i/>
          <w:iCs/>
        </w:rPr>
        <w:t>14</w:t>
      </w:r>
      <w:r>
        <w:t xml:space="preserve">(1), 163–173. </w:t>
      </w:r>
      <w:r>
        <w:rPr>
          <w:rStyle w:val="Hyperlink"/>
        </w:rPr>
        <w:t>https://doi.org/10.17512/pjms.2016.14.1.15</w:t>
      </w:r>
    </w:p>
    <w:p w14:paraId="62D15F9F" w14:textId="77777777" w:rsidR="00917F33" w:rsidRDefault="00917F33" w:rsidP="00917F33">
      <w:pPr>
        <w:pStyle w:val="References"/>
      </w:pPr>
      <w:r>
        <w:t xml:space="preserve">Morland, C., &amp; Pettersen, I. J. (2018). Translating technological change-new technology and practices in a hospital. </w:t>
      </w:r>
      <w:r>
        <w:rPr>
          <w:i/>
          <w:iCs/>
        </w:rPr>
        <w:t>International Journal of Productivity and Performance</w:t>
      </w:r>
      <w:r>
        <w:t xml:space="preserve">, </w:t>
      </w:r>
      <w:r>
        <w:rPr>
          <w:i/>
          <w:iCs/>
        </w:rPr>
        <w:t>67</w:t>
      </w:r>
      <w:r>
        <w:t xml:space="preserve">(6), 1000–1015. </w:t>
      </w:r>
      <w:r>
        <w:rPr>
          <w:rStyle w:val="Hyperlink"/>
        </w:rPr>
        <w:t>https://doi.org/10.1108/IJPPM-08-2016-0157</w:t>
      </w:r>
    </w:p>
    <w:p w14:paraId="154E2F41" w14:textId="77777777" w:rsidR="00917F33" w:rsidRDefault="00917F33" w:rsidP="00917F33">
      <w:pPr>
        <w:pStyle w:val="References"/>
      </w:pPr>
      <w:r>
        <w:t xml:space="preserve">Muafi, Suwitho, Purwohandoko, &amp; Salsabil, I. (2018). Human capital in Islamic Bank and its effect on the improvement of healthy organization and employee performance. </w:t>
      </w:r>
      <w:r>
        <w:rPr>
          <w:i/>
          <w:iCs/>
        </w:rPr>
        <w:t>International Journal for Quality Research</w:t>
      </w:r>
      <w:r>
        <w:t xml:space="preserve">, </w:t>
      </w:r>
      <w:r>
        <w:rPr>
          <w:i/>
          <w:iCs/>
        </w:rPr>
        <w:t>11</w:t>
      </w:r>
      <w:r>
        <w:t xml:space="preserve">(4), 849–868. </w:t>
      </w:r>
      <w:r>
        <w:rPr>
          <w:rStyle w:val="Hyperlink"/>
        </w:rPr>
        <w:t>https://doi.org/10.18421/IJQR11.04-08</w:t>
      </w:r>
    </w:p>
    <w:p w14:paraId="737797F1" w14:textId="77777777" w:rsidR="00917F33" w:rsidRDefault="00917F33" w:rsidP="00917F33">
      <w:pPr>
        <w:pStyle w:val="References"/>
      </w:pPr>
      <w:r>
        <w:t xml:space="preserve">Murphy, C., Cross, C., Mcguire, D., Murphy, C., Cross, C., &amp; Mcguire, D. (2006). The motivation of nurses to participate in continuing professional education in Ireland. </w:t>
      </w:r>
      <w:r>
        <w:rPr>
          <w:i/>
          <w:iCs/>
        </w:rPr>
        <w:t>Journal of European Industrial Training</w:t>
      </w:r>
      <w:r>
        <w:t xml:space="preserve">, </w:t>
      </w:r>
      <w:r>
        <w:rPr>
          <w:i/>
          <w:iCs/>
        </w:rPr>
        <w:t>30</w:t>
      </w:r>
      <w:r>
        <w:t xml:space="preserve">(5), 365–384. </w:t>
      </w:r>
      <w:r>
        <w:rPr>
          <w:rStyle w:val="Hyperlink"/>
        </w:rPr>
        <w:t>http://dx.doi.org/10.1108/03090590610677926</w:t>
      </w:r>
    </w:p>
    <w:p w14:paraId="4E0CF5C1" w14:textId="77777777" w:rsidR="00917F33" w:rsidRDefault="00917F33" w:rsidP="00917F33">
      <w:pPr>
        <w:pStyle w:val="References"/>
      </w:pPr>
      <w:r>
        <w:t xml:space="preserve">Nguyen, N. P., Evangelista, F., &amp; Kieu, T. A. (2019). The contingent roles of perceived budget fairness, budget goal commitment and vertical information sharing in driving work performance. </w:t>
      </w:r>
      <w:r>
        <w:rPr>
          <w:i/>
          <w:iCs/>
        </w:rPr>
        <w:t>Journal of Asian Business andEconomic Studies</w:t>
      </w:r>
      <w:r>
        <w:t xml:space="preserve">, </w:t>
      </w:r>
      <w:r>
        <w:rPr>
          <w:i/>
          <w:iCs/>
        </w:rPr>
        <w:t>26</w:t>
      </w:r>
      <w:r>
        <w:t xml:space="preserve">(1), 98–116. </w:t>
      </w:r>
      <w:r>
        <w:rPr>
          <w:rStyle w:val="Hyperlink"/>
        </w:rPr>
        <w:t>https://doi.org/10.1108/JABES-06-2018-0026</w:t>
      </w:r>
    </w:p>
    <w:p w14:paraId="623CDB08" w14:textId="77777777" w:rsidR="00917F33" w:rsidRDefault="00917F33" w:rsidP="00917F33">
      <w:pPr>
        <w:pStyle w:val="References"/>
      </w:pPr>
      <w:r>
        <w:t xml:space="preserve">Nguyen, T. T. N., &amp; Luu, T. M. N. (2019). Linking transformational leadership and organizational performance: An empirical investigation of manufacturing firms in Vietnam. </w:t>
      </w:r>
      <w:r>
        <w:rPr>
          <w:i/>
          <w:iCs/>
        </w:rPr>
        <w:t>Economics and Sociology</w:t>
      </w:r>
      <w:r>
        <w:t xml:space="preserve">, </w:t>
      </w:r>
      <w:r>
        <w:rPr>
          <w:i/>
          <w:iCs/>
        </w:rPr>
        <w:t>12</w:t>
      </w:r>
      <w:r>
        <w:t xml:space="preserve">(2), 170–191. </w:t>
      </w:r>
      <w:r>
        <w:rPr>
          <w:rStyle w:val="Hyperlink"/>
        </w:rPr>
        <w:t>https://doi.org/10.14254/2071-789X.2019/12-2/10</w:t>
      </w:r>
    </w:p>
    <w:p w14:paraId="53ABADA7" w14:textId="77777777" w:rsidR="00917F33" w:rsidRDefault="00917F33" w:rsidP="00917F33">
      <w:pPr>
        <w:pStyle w:val="References"/>
      </w:pPr>
      <w:r>
        <w:t xml:space="preserve">Omar, S., &amp; Noordin, F. (2016). Moderator influences on individualism-collectivism and career adaptability among ICT professionals in Malaysia. </w:t>
      </w:r>
      <w:r>
        <w:rPr>
          <w:i/>
          <w:iCs/>
        </w:rPr>
        <w:t>Procedia Economics and Finance</w:t>
      </w:r>
      <w:r>
        <w:t xml:space="preserve">, </w:t>
      </w:r>
      <w:r>
        <w:rPr>
          <w:i/>
          <w:iCs/>
        </w:rPr>
        <w:t>37</w:t>
      </w:r>
      <w:r>
        <w:t xml:space="preserve">, 529–537. </w:t>
      </w:r>
      <w:r>
        <w:rPr>
          <w:rStyle w:val="Hyperlink"/>
        </w:rPr>
        <w:t>https://doi.org/10.1016/S2212-5671(16)30161-7</w:t>
      </w:r>
    </w:p>
    <w:p w14:paraId="7C31C125" w14:textId="77777777" w:rsidR="00917F33" w:rsidRDefault="00917F33" w:rsidP="00917F33">
      <w:pPr>
        <w:pStyle w:val="References"/>
        <w:rPr>
          <w:rStyle w:val="Hyperlink"/>
        </w:rPr>
      </w:pPr>
      <w:r>
        <w:t xml:space="preserve">Park, K., &amp; Koh, J. (2017). Exploring the relationship between perceived pace of technology change and adoption resistance to convergence products. </w:t>
      </w:r>
      <w:r>
        <w:rPr>
          <w:i/>
          <w:iCs/>
        </w:rPr>
        <w:t>Computers in Human Behavior</w:t>
      </w:r>
      <w:r>
        <w:t xml:space="preserve">, </w:t>
      </w:r>
      <w:r>
        <w:rPr>
          <w:i/>
          <w:iCs/>
        </w:rPr>
        <w:t>69</w:t>
      </w:r>
      <w:r>
        <w:t xml:space="preserve">, 142–150. </w:t>
      </w:r>
      <w:r>
        <w:rPr>
          <w:rStyle w:val="Hyperlink"/>
        </w:rPr>
        <w:t>https://doi.org/10.1016/j.chb.2016.12.017</w:t>
      </w:r>
    </w:p>
    <w:p w14:paraId="1BCBB4B6" w14:textId="77777777" w:rsidR="00917F33" w:rsidRDefault="00917F33" w:rsidP="00917F33">
      <w:pPr>
        <w:pStyle w:val="References"/>
      </w:pPr>
      <w:r>
        <w:t xml:space="preserve">Poon, J., &amp; Brownlow, M. (2014). Competency expectations for property professionals in Australia. </w:t>
      </w:r>
      <w:r>
        <w:rPr>
          <w:i/>
          <w:iCs/>
        </w:rPr>
        <w:t>Journal of Property Investment &amp; Finance</w:t>
      </w:r>
      <w:r>
        <w:t xml:space="preserve">, </w:t>
      </w:r>
      <w:r>
        <w:rPr>
          <w:i/>
          <w:iCs/>
        </w:rPr>
        <w:t>32</w:t>
      </w:r>
      <w:r>
        <w:t>(3), 256–281.</w:t>
      </w:r>
      <w:r>
        <w:rPr>
          <w:rStyle w:val="Hyperlink"/>
        </w:rPr>
        <w:t xml:space="preserve"> https://doi.org/10.1108/JPIF-12-2013-0068</w:t>
      </w:r>
    </w:p>
    <w:p w14:paraId="70E05ECA" w14:textId="77777777" w:rsidR="00917F33" w:rsidRDefault="00917F33" w:rsidP="00917F33">
      <w:pPr>
        <w:pStyle w:val="References"/>
      </w:pPr>
      <w:r>
        <w:t xml:space="preserve">Pousa, C., Mathieu, A., &amp; Trépanier, C. (2017). Managing frontline employee performance through coaching : does selling experience matter ? </w:t>
      </w:r>
      <w:r>
        <w:rPr>
          <w:i/>
          <w:iCs/>
        </w:rPr>
        <w:t>International Journal of Bank Marketing</w:t>
      </w:r>
      <w:r>
        <w:t xml:space="preserve">, </w:t>
      </w:r>
      <w:r>
        <w:rPr>
          <w:i/>
          <w:iCs/>
        </w:rPr>
        <w:t>35</w:t>
      </w:r>
      <w:r>
        <w:t xml:space="preserve">(2), 220–240. </w:t>
      </w:r>
      <w:r>
        <w:rPr>
          <w:rStyle w:val="Hyperlink"/>
        </w:rPr>
        <w:t>https://doi.org/10.1108/IJBM-01-2016-0005</w:t>
      </w:r>
    </w:p>
    <w:p w14:paraId="6AA15FD2" w14:textId="77777777" w:rsidR="00917F33" w:rsidRDefault="00917F33" w:rsidP="00917F33">
      <w:pPr>
        <w:pStyle w:val="References"/>
      </w:pPr>
      <w:r>
        <w:t xml:space="preserve">Pudjiarti, E. S., &amp; Hutomo, P. T. P. (2020). Innovative work behaviour: An integrative investigation of person-job fit, person-organization fit, and person-group fit. </w:t>
      </w:r>
      <w:r>
        <w:rPr>
          <w:i/>
          <w:iCs/>
        </w:rPr>
        <w:t>Business: Theory and Practice</w:t>
      </w:r>
      <w:r>
        <w:t xml:space="preserve">, </w:t>
      </w:r>
      <w:r>
        <w:rPr>
          <w:i/>
          <w:iCs/>
        </w:rPr>
        <w:t>21</w:t>
      </w:r>
      <w:r>
        <w:t xml:space="preserve">(1), 39–47. </w:t>
      </w:r>
      <w:r>
        <w:rPr>
          <w:rStyle w:val="Hyperlink"/>
        </w:rPr>
        <w:t>https://doi.org/10.3846/btp.2020.9487</w:t>
      </w:r>
    </w:p>
    <w:p w14:paraId="4BE5DF9E" w14:textId="77777777" w:rsidR="00917F33" w:rsidRDefault="00917F33" w:rsidP="00917F33">
      <w:pPr>
        <w:pStyle w:val="References"/>
      </w:pPr>
      <w:r>
        <w:t xml:space="preserve">Razak, A. R. A., Othman, A. A., &amp; Sundram, V. P. K. (2015). The relationships of human success factor, information technology, and procurement process coordination on operational performance in building construction industry – A proposed conceptual framework. </w:t>
      </w:r>
      <w:r>
        <w:rPr>
          <w:i/>
          <w:iCs/>
        </w:rPr>
        <w:t>Procedia Economics and Finance</w:t>
      </w:r>
      <w:r>
        <w:t xml:space="preserve">, </w:t>
      </w:r>
      <w:r>
        <w:rPr>
          <w:i/>
          <w:iCs/>
        </w:rPr>
        <w:t>31</w:t>
      </w:r>
      <w:r>
        <w:t>, 354–360. h</w:t>
      </w:r>
      <w:r>
        <w:rPr>
          <w:rStyle w:val="Hyperlink"/>
        </w:rPr>
        <w:t>ttps://doi.org/10.1016/S2212-5671(15)01209-5</w:t>
      </w:r>
    </w:p>
    <w:p w14:paraId="4CC0928E" w14:textId="77777777" w:rsidR="00917F33" w:rsidRDefault="00917F33" w:rsidP="00917F33">
      <w:pPr>
        <w:pStyle w:val="References"/>
      </w:pPr>
      <w:r>
        <w:t xml:space="preserve">Rong, S., Hou, S., &amp; Cheng, C. W. (2012). Outside director experience, compensation, and performance. </w:t>
      </w:r>
      <w:r>
        <w:rPr>
          <w:i/>
          <w:iCs/>
        </w:rPr>
        <w:t>Managerial Finance</w:t>
      </w:r>
      <w:r>
        <w:t xml:space="preserve">, </w:t>
      </w:r>
      <w:r>
        <w:rPr>
          <w:i/>
          <w:iCs/>
        </w:rPr>
        <w:t>38</w:t>
      </w:r>
      <w:r>
        <w:t xml:space="preserve">(10), 914–936. </w:t>
      </w:r>
      <w:r>
        <w:rPr>
          <w:rStyle w:val="Hyperlink"/>
        </w:rPr>
        <w:t>https://doi.org/10.1108/03074351211255146</w:t>
      </w:r>
    </w:p>
    <w:p w14:paraId="12C3297B" w14:textId="77777777" w:rsidR="00917F33" w:rsidRDefault="00917F33" w:rsidP="00917F33">
      <w:pPr>
        <w:pStyle w:val="References"/>
      </w:pPr>
      <w:r>
        <w:t xml:space="preserve">Saadat, V., &amp; Saadat, Z. (2016). Organizational learning as a key role of organizational success. </w:t>
      </w:r>
      <w:r>
        <w:rPr>
          <w:i/>
          <w:iCs/>
        </w:rPr>
        <w:t>Procedia - Social and Behavioral Sciences</w:t>
      </w:r>
      <w:r>
        <w:t xml:space="preserve">, </w:t>
      </w:r>
      <w:r>
        <w:rPr>
          <w:i/>
          <w:iCs/>
        </w:rPr>
        <w:t>230</w:t>
      </w:r>
      <w:r>
        <w:t>, 219–225.</w:t>
      </w:r>
      <w:r>
        <w:rPr>
          <w:rStyle w:val="Hyperlink"/>
        </w:rPr>
        <w:t xml:space="preserve"> https://doi.org/10.1016/j.sbspro.2016.09.028</w:t>
      </w:r>
    </w:p>
    <w:p w14:paraId="641B09A1" w14:textId="77777777" w:rsidR="00917F33" w:rsidRDefault="00917F33" w:rsidP="00917F33">
      <w:pPr>
        <w:pStyle w:val="References"/>
      </w:pPr>
      <w:r>
        <w:t xml:space="preserve">Sahi, G. K., Gupta, M. C., Cheng, T. C. E., &amp; Lonial, S. C. (2019). Relating entrepreneurial orientation with operational responsiveness: Roles of competitive intensity and technological turbulence. </w:t>
      </w:r>
      <w:r>
        <w:rPr>
          <w:i/>
          <w:iCs/>
        </w:rPr>
        <w:t>International Journal of Operations &amp; Production Management</w:t>
      </w:r>
      <w:r>
        <w:t xml:space="preserve">, </w:t>
      </w:r>
      <w:r>
        <w:rPr>
          <w:i/>
          <w:iCs/>
        </w:rPr>
        <w:t>39</w:t>
      </w:r>
      <w:r>
        <w:t xml:space="preserve">(5), 739–766. </w:t>
      </w:r>
      <w:r>
        <w:rPr>
          <w:rStyle w:val="Hyperlink"/>
        </w:rPr>
        <w:t>https://doi.org/10.1108/IJOPM-07-2018-0411</w:t>
      </w:r>
    </w:p>
    <w:p w14:paraId="7C4D5D4C" w14:textId="77777777" w:rsidR="00917F33" w:rsidRDefault="00917F33" w:rsidP="00917F33">
      <w:pPr>
        <w:pStyle w:val="References"/>
      </w:pPr>
      <w:r>
        <w:t xml:space="preserve">Samagaio, A., &amp; Rodrigues, R. (2016). Human capital and performance in young audit firms. </w:t>
      </w:r>
      <w:r>
        <w:rPr>
          <w:i/>
          <w:iCs/>
        </w:rPr>
        <w:t>Journal of Business Research</w:t>
      </w:r>
      <w:r>
        <w:t xml:space="preserve">, </w:t>
      </w:r>
      <w:r>
        <w:rPr>
          <w:i/>
          <w:iCs/>
        </w:rPr>
        <w:t>69</w:t>
      </w:r>
      <w:r>
        <w:t xml:space="preserve">(11), 5354–5359. </w:t>
      </w:r>
      <w:r>
        <w:rPr>
          <w:rStyle w:val="Hyperlink"/>
        </w:rPr>
        <w:t>https://doi.org/http://dx.doi.org/10.1016/j.jbusres.2016.04.137</w:t>
      </w:r>
    </w:p>
    <w:p w14:paraId="3F011775" w14:textId="77777777" w:rsidR="00917F33" w:rsidRDefault="00917F33" w:rsidP="00917F33">
      <w:pPr>
        <w:pStyle w:val="References"/>
      </w:pPr>
      <w:r>
        <w:t xml:space="preserve">Samnani, A., Singh, P., &amp; Ezzedeen, S. (2013). Workplace bullying and employee performance: An attributional model. </w:t>
      </w:r>
      <w:r>
        <w:rPr>
          <w:i/>
          <w:iCs/>
        </w:rPr>
        <w:t>Organizational Psychology Review</w:t>
      </w:r>
      <w:r>
        <w:t xml:space="preserve">, </w:t>
      </w:r>
      <w:r>
        <w:rPr>
          <w:i/>
          <w:iCs/>
        </w:rPr>
        <w:t>3</w:t>
      </w:r>
      <w:r>
        <w:t xml:space="preserve">(4), 337–359. </w:t>
      </w:r>
      <w:r>
        <w:rPr>
          <w:rStyle w:val="Hyperlink"/>
        </w:rPr>
        <w:t>https://doi.org/10.1177/2041386613475370</w:t>
      </w:r>
    </w:p>
    <w:p w14:paraId="27EDBE3E" w14:textId="77777777" w:rsidR="00917F33" w:rsidRDefault="00917F33" w:rsidP="00917F33">
      <w:pPr>
        <w:pStyle w:val="References"/>
      </w:pPr>
      <w:r>
        <w:t xml:space="preserve">Santanu Mandal. (2017). An empirical competence-capability model of supply chain resilience. </w:t>
      </w:r>
      <w:r>
        <w:rPr>
          <w:i/>
          <w:iCs/>
        </w:rPr>
        <w:t>International Journal of Disaster Resilience in the Built Environment,</w:t>
      </w:r>
      <w:r>
        <w:t xml:space="preserve"> </w:t>
      </w:r>
      <w:r>
        <w:rPr>
          <w:i/>
          <w:iCs/>
        </w:rPr>
        <w:t>8</w:t>
      </w:r>
      <w:r>
        <w:t xml:space="preserve">(2), 190–208. </w:t>
      </w:r>
      <w:r>
        <w:rPr>
          <w:rStyle w:val="Hyperlink"/>
        </w:rPr>
        <w:t>https://doi.org/10.1108/IJDRBE-02-2015-0003</w:t>
      </w:r>
    </w:p>
    <w:p w14:paraId="66A82916" w14:textId="77777777" w:rsidR="00917F33" w:rsidRDefault="00917F33" w:rsidP="00917F33">
      <w:pPr>
        <w:pStyle w:val="References"/>
      </w:pPr>
      <w:r>
        <w:t xml:space="preserve">Sony, M., &amp; Mekoth, N. (2016). The relationship between emotional intelligence, frontline employee adaptability, job satisfaction and job performance. </w:t>
      </w:r>
      <w:r>
        <w:rPr>
          <w:i/>
          <w:iCs/>
        </w:rPr>
        <w:t>Journal of Retailing and Consumer Services</w:t>
      </w:r>
      <w:r>
        <w:t xml:space="preserve">, </w:t>
      </w:r>
      <w:r>
        <w:rPr>
          <w:i/>
          <w:iCs/>
        </w:rPr>
        <w:t>30</w:t>
      </w:r>
      <w:r>
        <w:t xml:space="preserve">, 20–32. </w:t>
      </w:r>
      <w:r>
        <w:rPr>
          <w:rStyle w:val="Hyperlink"/>
        </w:rPr>
        <w:t>https://doi.org/10.1016/j.jretconser.2015.12.003</w:t>
      </w:r>
    </w:p>
    <w:p w14:paraId="5C3D25A7" w14:textId="77777777" w:rsidR="00917F33" w:rsidRDefault="00917F33" w:rsidP="00917F33">
      <w:pPr>
        <w:pStyle w:val="References"/>
      </w:pPr>
      <w:r>
        <w:t xml:space="preserve">Sraha, G., Sharma, R. R., Crick, D., &amp; Crick, J. M. (2020). International experience, commitment, distribution adaptation and performance: A study of Ghanaian firms in B2B export markets. </w:t>
      </w:r>
      <w:r>
        <w:rPr>
          <w:i/>
          <w:iCs/>
        </w:rPr>
        <w:t>Journal of Business &amp; Industrial Marketing</w:t>
      </w:r>
      <w:r>
        <w:t xml:space="preserve">. </w:t>
      </w:r>
      <w:r>
        <w:rPr>
          <w:rStyle w:val="Hyperlink"/>
        </w:rPr>
        <w:t>https://doi.org/https://doi.org/10.1108/JBIM-05-2019-0197</w:t>
      </w:r>
    </w:p>
    <w:p w14:paraId="30DA70C1" w14:textId="77777777" w:rsidR="00917F33" w:rsidRDefault="00917F33" w:rsidP="00917F33">
      <w:pPr>
        <w:pStyle w:val="References"/>
      </w:pPr>
      <w:r>
        <w:t xml:space="preserve">Stacho, Z., Stachová, K., &amp; Raišienė, A. G. (2019). Change in approach to employee development in organizations on a regional scale. </w:t>
      </w:r>
      <w:r>
        <w:rPr>
          <w:i/>
          <w:iCs/>
        </w:rPr>
        <w:t>Journal of International Studies</w:t>
      </w:r>
      <w:r>
        <w:t xml:space="preserve">, </w:t>
      </w:r>
      <w:r>
        <w:rPr>
          <w:i/>
          <w:iCs/>
        </w:rPr>
        <w:t>12</w:t>
      </w:r>
      <w:r>
        <w:t xml:space="preserve">(2), 299–308. </w:t>
      </w:r>
      <w:r>
        <w:rPr>
          <w:rStyle w:val="Hyperlink"/>
        </w:rPr>
        <w:t>https://doi.org/10.14254/2071-8330.2019/12-2/19</w:t>
      </w:r>
    </w:p>
    <w:p w14:paraId="472463F8" w14:textId="77777777" w:rsidR="00917F33" w:rsidRDefault="00917F33" w:rsidP="00917F33">
      <w:pPr>
        <w:pStyle w:val="References"/>
      </w:pPr>
      <w:r>
        <w:t xml:space="preserve">Stensaker, I. G., &amp; Meyer, C. B. (2012). Change experience and employee reactions: Developing capabilities for change. </w:t>
      </w:r>
      <w:r>
        <w:rPr>
          <w:i/>
          <w:iCs/>
        </w:rPr>
        <w:t>Personnel Review</w:t>
      </w:r>
      <w:r>
        <w:t xml:space="preserve">, </w:t>
      </w:r>
      <w:r>
        <w:rPr>
          <w:i/>
          <w:iCs/>
        </w:rPr>
        <w:t>41</w:t>
      </w:r>
      <w:r>
        <w:t>(1), 106–124. https://doi.org/10.1108/00483481211189974</w:t>
      </w:r>
    </w:p>
    <w:p w14:paraId="5A1C0259" w14:textId="77777777" w:rsidR="00917F33" w:rsidRDefault="00917F33" w:rsidP="00917F33">
      <w:pPr>
        <w:pStyle w:val="References"/>
      </w:pPr>
      <w:r>
        <w:t xml:space="preserve">Tajeddini, K. (2016). Analyzing the influence of learning orientation and innovativeness on performance of public organizations The case of Iran. </w:t>
      </w:r>
      <w:r>
        <w:rPr>
          <w:i/>
          <w:iCs/>
        </w:rPr>
        <w:t>Journal of Management Development</w:t>
      </w:r>
      <w:r>
        <w:t xml:space="preserve">, </w:t>
      </w:r>
      <w:r>
        <w:rPr>
          <w:i/>
          <w:iCs/>
        </w:rPr>
        <w:t>35</w:t>
      </w:r>
      <w:r>
        <w:t xml:space="preserve">(2), 134–153. </w:t>
      </w:r>
      <w:r>
        <w:rPr>
          <w:rStyle w:val="Hyperlink"/>
        </w:rPr>
        <w:t>https://doi.org/10.1108/JMD-03-2015-0033</w:t>
      </w:r>
    </w:p>
    <w:p w14:paraId="7F9307B0" w14:textId="77777777" w:rsidR="00917F33" w:rsidRDefault="00917F33" w:rsidP="00917F33">
      <w:pPr>
        <w:pStyle w:val="References"/>
      </w:pPr>
      <w:r>
        <w:t xml:space="preserve">Tien, H. L. S., Wang, Y. C., Chu, H. C., &amp; Huang, T. L. (2012). Career Adapt-Abilities Scale - Taiwan Form: Psychometric properties and construct validity. </w:t>
      </w:r>
      <w:r>
        <w:rPr>
          <w:i/>
          <w:iCs/>
        </w:rPr>
        <w:t>Journal of Vocational Behavior</w:t>
      </w:r>
      <w:r>
        <w:t xml:space="preserve">, </w:t>
      </w:r>
      <w:r>
        <w:rPr>
          <w:i/>
          <w:iCs/>
        </w:rPr>
        <w:t>80</w:t>
      </w:r>
      <w:r>
        <w:t xml:space="preserve">(3), 744–747. </w:t>
      </w:r>
      <w:r>
        <w:rPr>
          <w:rStyle w:val="Hyperlink"/>
        </w:rPr>
        <w:t>https://doi.org/10.1016/j.jvb.2012.01.010</w:t>
      </w:r>
    </w:p>
    <w:p w14:paraId="469AF8B4" w14:textId="77777777" w:rsidR="00917F33" w:rsidRDefault="00917F33" w:rsidP="00917F33">
      <w:pPr>
        <w:pStyle w:val="References"/>
      </w:pPr>
      <w:r>
        <w:t xml:space="preserve">Tippins, M. J., &amp; Sohi, R. S. (2003). IT competency and firm performance: Is organizational learning a missing link? </w:t>
      </w:r>
      <w:r>
        <w:rPr>
          <w:i/>
          <w:iCs/>
        </w:rPr>
        <w:t>Strategic Management Journal</w:t>
      </w:r>
      <w:r>
        <w:t xml:space="preserve">, </w:t>
      </w:r>
      <w:r>
        <w:rPr>
          <w:i/>
          <w:iCs/>
        </w:rPr>
        <w:t>24</w:t>
      </w:r>
      <w:r>
        <w:t xml:space="preserve">, 745–761. </w:t>
      </w:r>
      <w:r>
        <w:rPr>
          <w:rStyle w:val="Hyperlink"/>
        </w:rPr>
        <w:t>https://doi.org/10.1002/smj.337</w:t>
      </w:r>
    </w:p>
    <w:p w14:paraId="4243DE58" w14:textId="77777777" w:rsidR="00917F33" w:rsidRDefault="00917F33" w:rsidP="00917F33">
      <w:pPr>
        <w:pStyle w:val="References"/>
      </w:pPr>
      <w:r>
        <w:t xml:space="preserve">Woo, H. (2018). New CEOs’ previous experience and acquisition performance. </w:t>
      </w:r>
      <w:r>
        <w:rPr>
          <w:i/>
          <w:iCs/>
        </w:rPr>
        <w:t>International Journal of Organizational Analysis</w:t>
      </w:r>
      <w:r>
        <w:t xml:space="preserve">. </w:t>
      </w:r>
      <w:r>
        <w:rPr>
          <w:rStyle w:val="Hyperlink"/>
        </w:rPr>
        <w:t>https://doi.org/10.1108/IJOA-03-2018-1389</w:t>
      </w:r>
    </w:p>
    <w:p w14:paraId="40B59E5A" w14:textId="77777777" w:rsidR="00917F33" w:rsidRDefault="00917F33" w:rsidP="00917F33">
      <w:pPr>
        <w:pStyle w:val="References"/>
      </w:pPr>
      <w:r>
        <w:t xml:space="preserve">Zappa, P., &amp; Robins, G. (2015). Organizational learning across multi-level networks. </w:t>
      </w:r>
      <w:r>
        <w:rPr>
          <w:i/>
          <w:iCs/>
        </w:rPr>
        <w:t>Social Networks</w:t>
      </w:r>
      <w:r>
        <w:t xml:space="preserve">, </w:t>
      </w:r>
      <w:r>
        <w:rPr>
          <w:i/>
          <w:iCs/>
        </w:rPr>
        <w:t>44</w:t>
      </w:r>
      <w:r>
        <w:t xml:space="preserve">, 295–306. </w:t>
      </w:r>
      <w:r>
        <w:rPr>
          <w:rStyle w:val="Hyperlink"/>
        </w:rPr>
        <w:t>https://doi.org/10.1016/j.socnet.2015.03.003</w:t>
      </w:r>
    </w:p>
    <w:p w14:paraId="1288A802" w14:textId="77777777" w:rsidR="00917F33" w:rsidRDefault="00917F33" w:rsidP="00917F33">
      <w:pPr>
        <w:pStyle w:val="References"/>
        <w:rPr>
          <w:lang w:val="id-ID"/>
        </w:rPr>
      </w:pPr>
      <w:r>
        <w:rPr>
          <w:lang w:val="id-ID"/>
        </w:rPr>
        <w:fldChar w:fldCharType="end"/>
      </w:r>
    </w:p>
    <w:p w14:paraId="1FA208E1" w14:textId="77777777" w:rsidR="00917F33" w:rsidRDefault="00917F33" w:rsidP="00917F33">
      <w:pPr>
        <w:pStyle w:val="References"/>
        <w:rPr>
          <w:lang w:val="id-ID"/>
        </w:rPr>
      </w:pPr>
    </w:p>
    <w:p w14:paraId="263B6367" w14:textId="77777777" w:rsidR="00917F33" w:rsidRDefault="00917F33" w:rsidP="00917F33">
      <w:pPr>
        <w:pStyle w:val="References"/>
      </w:pPr>
    </w:p>
    <w:p w14:paraId="4F611AB8" w14:textId="77777777" w:rsidR="00917F33" w:rsidRDefault="00917F33" w:rsidP="00917F33">
      <w:pPr>
        <w:pStyle w:val="References"/>
      </w:pPr>
    </w:p>
    <w:p w14:paraId="5B4AD670" w14:textId="77777777" w:rsidR="00917F33" w:rsidRPr="009D0CCB" w:rsidRDefault="00917F33" w:rsidP="00917F33">
      <w:pPr>
        <w:pStyle w:val="References"/>
        <w:rPr>
          <w:lang w:val="id-ID"/>
        </w:rPr>
      </w:pPr>
    </w:p>
    <w:p w14:paraId="61117F78" w14:textId="77777777" w:rsidR="00917F33" w:rsidRPr="009D0CCB" w:rsidRDefault="00917F33" w:rsidP="00917F33">
      <w:pPr>
        <w:pStyle w:val="References"/>
        <w:rPr>
          <w:lang w:val="id-ID"/>
        </w:rPr>
      </w:pPr>
    </w:p>
    <w:p w14:paraId="7754174D" w14:textId="77777777" w:rsidR="00917F33" w:rsidRPr="009D0CCB" w:rsidRDefault="00917F33" w:rsidP="00917F33">
      <w:pPr>
        <w:pStyle w:val="References"/>
      </w:pPr>
    </w:p>
    <w:p w14:paraId="73DC104D" w14:textId="77777777" w:rsidR="00917F33" w:rsidRDefault="00917F33">
      <w:pPr>
        <w:rPr>
          <w:rFonts w:ascii="Noto Sans" w:hAnsi="Noto Sans" w:cs="Noto Sans"/>
          <w:sz w:val="21"/>
          <w:szCs w:val="21"/>
          <w:shd w:val="clear" w:color="auto" w:fill="EEEEEE"/>
        </w:rPr>
      </w:pPr>
    </w:p>
    <w:p w14:paraId="4AB430B1" w14:textId="7448D4EF" w:rsidR="00917F33" w:rsidRDefault="00917F33"/>
    <w:p w14:paraId="291DC55E" w14:textId="76297A64" w:rsidR="00B03DC2" w:rsidRDefault="00B03DC2"/>
    <w:p w14:paraId="304946F7" w14:textId="0634364B" w:rsidR="00B03DC2" w:rsidRDefault="00B03DC2"/>
    <w:p w14:paraId="1C139671" w14:textId="367F338F" w:rsidR="00B03DC2" w:rsidRDefault="00B03DC2"/>
    <w:p w14:paraId="48E9CBDE" w14:textId="4C3ED219" w:rsidR="00B03DC2" w:rsidRDefault="00B03DC2"/>
    <w:p w14:paraId="210EE9BE" w14:textId="3B118A11" w:rsidR="00B03DC2" w:rsidRPr="00B03DC2" w:rsidRDefault="00B03DC2">
      <w:pPr>
        <w:rPr>
          <w:b/>
          <w:bCs/>
          <w:sz w:val="32"/>
          <w:szCs w:val="32"/>
        </w:rPr>
      </w:pPr>
      <w:r w:rsidRPr="00B03DC2">
        <w:rPr>
          <w:rFonts w:ascii="Noto Sans" w:hAnsi="Noto Sans" w:cs="Noto Sans"/>
          <w:b/>
          <w:bCs/>
          <w:color w:val="777777"/>
          <w:sz w:val="32"/>
          <w:szCs w:val="32"/>
          <w:shd w:val="clear" w:color="auto" w:fill="FFFFFF"/>
        </w:rPr>
        <w:t>2020-10-14 01:14</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11034"/>
        <w:gridCol w:w="486"/>
      </w:tblGrid>
      <w:tr w:rsidR="00B03DC2" w14:paraId="2B6ABC43" w14:textId="77777777" w:rsidTr="00B03DC2">
        <w:tc>
          <w:tcPr>
            <w:tcW w:w="0" w:type="auto"/>
            <w:shd w:val="clear" w:color="auto" w:fill="FFFFFF"/>
            <w:tcMar>
              <w:top w:w="120" w:type="dxa"/>
              <w:left w:w="480" w:type="dxa"/>
              <w:bottom w:w="105" w:type="dxa"/>
              <w:right w:w="240" w:type="dxa"/>
            </w:tcMar>
            <w:hideMark/>
          </w:tcPr>
          <w:p w14:paraId="11E0C02E" w14:textId="00DC78AA" w:rsidR="00B03DC2" w:rsidRDefault="00B03DC2" w:rsidP="00B03DC2">
            <w:pPr>
              <w:pStyle w:val="NormalWeb"/>
              <w:spacing w:before="0" w:beforeAutospacing="0" w:line="360" w:lineRule="atLeast"/>
              <w:rPr>
                <w:rFonts w:ascii="Noto Sans" w:hAnsi="Noto Sans" w:cs="Noto Sans"/>
                <w:bdr w:val="none" w:sz="0" w:space="0" w:color="auto" w:frame="1"/>
              </w:rPr>
            </w:pPr>
            <w:r>
              <w:rPr>
                <w:rFonts w:ascii="Noto Sans" w:hAnsi="Noto Sans" w:cs="Noto Sans"/>
                <w:bdr w:val="none" w:sz="0" w:space="0" w:color="auto" w:frame="1"/>
              </w:rPr>
              <w:t>Dear author, Your manuscript was copy-edited. Please correct it according  the comments.</w:t>
            </w:r>
          </w:p>
          <w:p w14:paraId="76395ABB" w14:textId="77777777" w:rsidR="00B03DC2" w:rsidRDefault="00B03DC2">
            <w:pPr>
              <w:pStyle w:val="NormalWeb"/>
              <w:spacing w:line="360" w:lineRule="atLeast"/>
              <w:rPr>
                <w:rFonts w:ascii="Noto Sans" w:hAnsi="Noto Sans" w:cs="Noto Sans"/>
                <w:bdr w:val="none" w:sz="0" w:space="0" w:color="auto" w:frame="1"/>
              </w:rPr>
            </w:pPr>
            <w:r>
              <w:rPr>
                <w:rFonts w:ascii="Noto Sans" w:hAnsi="Noto Sans" w:cs="Noto Sans"/>
                <w:bdr w:val="none" w:sz="0" w:space="0" w:color="auto" w:frame="1"/>
              </w:rPr>
              <w:t>Best wishes,</w:t>
            </w:r>
          </w:p>
          <w:p w14:paraId="115AB6B7" w14:textId="77777777" w:rsidR="00B03DC2" w:rsidRDefault="00B03DC2">
            <w:pPr>
              <w:pStyle w:val="NormalWeb"/>
              <w:spacing w:line="360" w:lineRule="atLeast"/>
              <w:rPr>
                <w:rFonts w:ascii="Noto Sans" w:hAnsi="Noto Sans" w:cs="Noto Sans"/>
                <w:bdr w:val="none" w:sz="0" w:space="0" w:color="auto" w:frame="1"/>
              </w:rPr>
            </w:pPr>
            <w:r>
              <w:rPr>
                <w:rFonts w:ascii="Noto Sans" w:hAnsi="Noto Sans" w:cs="Noto Sans"/>
                <w:bdr w:val="none" w:sz="0" w:space="0" w:color="auto" w:frame="1"/>
              </w:rPr>
              <w:t>Giedr</w:t>
            </w:r>
            <w:r>
              <w:rPr>
                <w:rFonts w:ascii="Calibri" w:hAnsi="Calibri" w:cs="Calibri"/>
                <w:bdr w:val="none" w:sz="0" w:space="0" w:color="auto" w:frame="1"/>
              </w:rPr>
              <w:t>ė</w:t>
            </w:r>
            <w:r>
              <w:rPr>
                <w:rFonts w:ascii="Noto Sans" w:hAnsi="Noto Sans" w:cs="Noto Sans"/>
                <w:bdr w:val="none" w:sz="0" w:space="0" w:color="auto" w:frame="1"/>
              </w:rPr>
              <w:t xml:space="preserve"> Cesiulyt</w:t>
            </w:r>
            <w:r>
              <w:rPr>
                <w:rFonts w:ascii="Calibri" w:hAnsi="Calibri" w:cs="Calibri"/>
                <w:bdr w:val="none" w:sz="0" w:space="0" w:color="auto" w:frame="1"/>
              </w:rPr>
              <w:t>ė</w:t>
            </w:r>
          </w:p>
          <w:p w14:paraId="60204AD8" w14:textId="77777777" w:rsidR="00B03DC2" w:rsidRDefault="00B03DC2">
            <w:pPr>
              <w:pStyle w:val="NormalWeb"/>
              <w:spacing w:after="0" w:afterAutospacing="0" w:line="360" w:lineRule="atLeast"/>
              <w:rPr>
                <w:rFonts w:ascii="Noto Sans" w:hAnsi="Noto Sans" w:cs="Noto Sans"/>
                <w:bdr w:val="none" w:sz="0" w:space="0" w:color="auto" w:frame="1"/>
              </w:rPr>
            </w:pPr>
            <w:r>
              <w:rPr>
                <w:rFonts w:ascii="Noto Sans" w:hAnsi="Noto Sans" w:cs="Noto Sans"/>
                <w:bdr w:val="none" w:sz="0" w:space="0" w:color="auto" w:frame="1"/>
              </w:rPr>
              <w:t>Production editor</w:t>
            </w:r>
          </w:p>
          <w:p w14:paraId="51E41B6E" w14:textId="77777777" w:rsidR="00B03DC2" w:rsidRDefault="00342565">
            <w:pPr>
              <w:spacing w:line="360" w:lineRule="atLeast"/>
              <w:rPr>
                <w:rFonts w:ascii="Noto Sans" w:hAnsi="Noto Sans" w:cs="Noto Sans"/>
                <w:sz w:val="21"/>
                <w:szCs w:val="21"/>
              </w:rPr>
            </w:pPr>
            <w:hyperlink r:id="rId10" w:tooltip="44505-1" w:history="1">
              <w:r w:rsidR="00B03DC2">
                <w:rPr>
                  <w:rStyle w:val="Hyperlink"/>
                  <w:rFonts w:ascii="Noto Sans" w:hAnsi="Noto Sans" w:cs="Noto Sans"/>
                  <w:color w:val="007AB2"/>
                  <w:sz w:val="21"/>
                  <w:szCs w:val="21"/>
                </w:rPr>
                <w:t>giedre, 12657-Article Text-41276-1-6-20200714_gie.docx</w:t>
              </w:r>
            </w:hyperlink>
          </w:p>
        </w:tc>
        <w:tc>
          <w:tcPr>
            <w:tcW w:w="0" w:type="auto"/>
            <w:shd w:val="clear" w:color="auto" w:fill="FFFFFF"/>
            <w:tcMar>
              <w:top w:w="120" w:type="dxa"/>
              <w:left w:w="240" w:type="dxa"/>
              <w:bottom w:w="105" w:type="dxa"/>
              <w:right w:w="240" w:type="dxa"/>
            </w:tcMar>
            <w:hideMark/>
          </w:tcPr>
          <w:p w14:paraId="36FD386F" w14:textId="250DB3B4" w:rsidR="00B03DC2" w:rsidRDefault="00B03DC2">
            <w:pPr>
              <w:spacing w:line="360" w:lineRule="atLeast"/>
              <w:rPr>
                <w:rFonts w:ascii="Noto Sans" w:hAnsi="Noto Sans" w:cs="Noto Sans"/>
                <w:color w:val="777777"/>
                <w:sz w:val="21"/>
                <w:szCs w:val="21"/>
              </w:rPr>
            </w:pPr>
          </w:p>
        </w:tc>
      </w:tr>
      <w:tr w:rsidR="00B03DC2" w14:paraId="2A32B89B" w14:textId="77777777" w:rsidTr="00B03DC2">
        <w:tc>
          <w:tcPr>
            <w:tcW w:w="0" w:type="auto"/>
            <w:shd w:val="clear" w:color="auto" w:fill="FFFFFF"/>
            <w:tcMar>
              <w:top w:w="120" w:type="dxa"/>
              <w:left w:w="480" w:type="dxa"/>
              <w:bottom w:w="105" w:type="dxa"/>
              <w:right w:w="240" w:type="dxa"/>
            </w:tcMar>
            <w:hideMark/>
          </w:tcPr>
          <w:p w14:paraId="38C52A2F" w14:textId="77777777" w:rsidR="00B03DC2" w:rsidRDefault="00342565">
            <w:pPr>
              <w:spacing w:line="360" w:lineRule="atLeast"/>
              <w:rPr>
                <w:rStyle w:val="label"/>
                <w:sz w:val="24"/>
                <w:szCs w:val="24"/>
                <w:bdr w:val="none" w:sz="0" w:space="0" w:color="auto" w:frame="1"/>
              </w:rPr>
            </w:pPr>
            <w:hyperlink r:id="rId11" w:history="1">
              <w:r w:rsidR="00B03DC2">
                <w:rPr>
                  <w:rStyle w:val="pkpscreenreader"/>
                  <w:rFonts w:ascii="Noto Sans" w:hAnsi="Noto Sans" w:cs="Noto Sans"/>
                  <w:color w:val="007AB2"/>
                  <w:sz w:val="21"/>
                  <w:szCs w:val="21"/>
                </w:rPr>
                <w:t>Settings</w:t>
              </w:r>
            </w:hyperlink>
          </w:p>
          <w:p w14:paraId="7EF030BA" w14:textId="77777777" w:rsidR="00B03DC2" w:rsidRDefault="00B03DC2">
            <w:pPr>
              <w:pStyle w:val="NormalWeb"/>
              <w:spacing w:before="0" w:beforeAutospacing="0" w:after="0" w:afterAutospacing="0" w:line="360" w:lineRule="atLeast"/>
            </w:pPr>
            <w:r>
              <w:rPr>
                <w:rFonts w:ascii="Noto Sans" w:hAnsi="Noto Sans" w:cs="Noto Sans"/>
                <w:bdr w:val="none" w:sz="0" w:space="0" w:color="auto" w:frame="1"/>
              </w:rPr>
              <w:t>I re-attach my manuscript which I e-mailed it to you in 15th October 2020 through tattachingfacility below.</w:t>
            </w:r>
          </w:p>
          <w:p w14:paraId="5F8A3FBD" w14:textId="77777777" w:rsidR="00B03DC2" w:rsidRDefault="00342565">
            <w:pPr>
              <w:spacing w:line="360" w:lineRule="atLeast"/>
              <w:rPr>
                <w:rFonts w:ascii="Noto Sans" w:hAnsi="Noto Sans" w:cs="Noto Sans"/>
                <w:sz w:val="21"/>
                <w:szCs w:val="21"/>
              </w:rPr>
            </w:pPr>
            <w:hyperlink r:id="rId12" w:tooltip="44677-1" w:history="1">
              <w:r w:rsidR="00B03DC2">
                <w:rPr>
                  <w:rStyle w:val="Hyperlink"/>
                  <w:rFonts w:ascii="Noto Sans" w:hAnsi="Noto Sans" w:cs="Noto Sans"/>
                  <w:color w:val="007AB2"/>
                  <w:sz w:val="21"/>
                  <w:szCs w:val="21"/>
                </w:rPr>
                <w:t>fitri2, 12657-Article Text-44505-1-18-20201014.docx</w:t>
              </w:r>
            </w:hyperlink>
          </w:p>
        </w:tc>
        <w:tc>
          <w:tcPr>
            <w:tcW w:w="0" w:type="auto"/>
            <w:shd w:val="clear" w:color="auto" w:fill="FFFFFF"/>
            <w:vAlign w:val="center"/>
            <w:hideMark/>
          </w:tcPr>
          <w:p w14:paraId="55BC0C5A" w14:textId="77777777" w:rsidR="00B03DC2" w:rsidRDefault="00B03DC2">
            <w:pPr>
              <w:rPr>
                <w:sz w:val="20"/>
                <w:szCs w:val="20"/>
              </w:rPr>
            </w:pPr>
          </w:p>
        </w:tc>
      </w:tr>
    </w:tbl>
    <w:p w14:paraId="65289838" w14:textId="3651548D" w:rsidR="00B03DC2" w:rsidRDefault="00B03DC2"/>
    <w:p w14:paraId="692584E7" w14:textId="7DF16A6B" w:rsidR="00B03DC2" w:rsidRDefault="00B11AA9" w:rsidP="00B11AA9">
      <w:r>
        <w:rPr>
          <w:noProof/>
        </w:rPr>
        <w:drawing>
          <wp:inline distT="0" distB="0" distL="0" distR="0" wp14:anchorId="04982A85" wp14:editId="63BD236F">
            <wp:extent cx="5943600" cy="423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38625"/>
                    </a:xfrm>
                    <a:prstGeom prst="rect">
                      <a:avLst/>
                    </a:prstGeom>
                  </pic:spPr>
                </pic:pic>
              </a:graphicData>
            </a:graphic>
          </wp:inline>
        </w:drawing>
      </w:r>
    </w:p>
    <w:p w14:paraId="318C76B2" w14:textId="532A2478" w:rsidR="0013747F" w:rsidRDefault="0013747F" w:rsidP="00B11AA9">
      <w:r>
        <w:rPr>
          <w:noProof/>
        </w:rPr>
        <w:drawing>
          <wp:inline distT="0" distB="0" distL="0" distR="0" wp14:anchorId="12C5ECA8" wp14:editId="7F37B82F">
            <wp:extent cx="59436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1370"/>
                    </a:xfrm>
                    <a:prstGeom prst="rect">
                      <a:avLst/>
                    </a:prstGeom>
                  </pic:spPr>
                </pic:pic>
              </a:graphicData>
            </a:graphic>
          </wp:inline>
        </w:drawing>
      </w:r>
    </w:p>
    <w:sectPr w:rsidR="00137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233A0A"/>
    <w:multiLevelType w:val="multilevel"/>
    <w:tmpl w:val="AE1CFD9C"/>
    <w:lvl w:ilvl="0">
      <w:start w:val="16"/>
      <w:numFmt w:val="decimal"/>
      <w:lvlText w:val="%1"/>
      <w:lvlJc w:val="left"/>
      <w:pPr>
        <w:ind w:left="555" w:hanging="555"/>
      </w:pPr>
      <w:rPr>
        <w:rFonts w:hint="default"/>
      </w:rPr>
    </w:lvl>
    <w:lvl w:ilvl="1">
      <w:start w:val="2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BF6D83"/>
    <w:multiLevelType w:val="hybridMultilevel"/>
    <w:tmpl w:val="B7BAFB10"/>
    <w:lvl w:ilvl="0" w:tplc="8E2E1742">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6"/>
  </w:num>
  <w:num w:numId="15">
    <w:abstractNumId w:val="16"/>
  </w:num>
  <w:num w:numId="16">
    <w:abstractNumId w:val="19"/>
  </w:num>
  <w:num w:numId="17">
    <w:abstractNumId w:val="11"/>
  </w:num>
  <w:num w:numId="18">
    <w:abstractNumId w:val="0"/>
  </w:num>
  <w:num w:numId="19">
    <w:abstractNumId w:val="13"/>
  </w:num>
  <w:num w:numId="20">
    <w:abstractNumId w:val="21"/>
  </w:num>
  <w:num w:numId="21">
    <w:abstractNumId w:val="27"/>
  </w:num>
  <w:num w:numId="22">
    <w:abstractNumId w:val="28"/>
  </w:num>
  <w:num w:numId="23">
    <w:abstractNumId w:val="23"/>
  </w:num>
  <w:num w:numId="24">
    <w:abstractNumId w:val="25"/>
  </w:num>
  <w:num w:numId="25">
    <w:abstractNumId w:val="12"/>
  </w:num>
  <w:num w:numId="26">
    <w:abstractNumId w:val="29"/>
  </w:num>
  <w:num w:numId="27">
    <w:abstractNumId w:val="15"/>
  </w:num>
  <w:num w:numId="28">
    <w:abstractNumId w:val="14"/>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33"/>
    <w:rsid w:val="000F6C86"/>
    <w:rsid w:val="0013747F"/>
    <w:rsid w:val="0017124A"/>
    <w:rsid w:val="00342565"/>
    <w:rsid w:val="006526E2"/>
    <w:rsid w:val="00871A93"/>
    <w:rsid w:val="00917F33"/>
    <w:rsid w:val="00B03DC2"/>
    <w:rsid w:val="00B11AA9"/>
    <w:rsid w:val="00E12802"/>
    <w:rsid w:val="00F21AF6"/>
    <w:rsid w:val="00FB0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27BE"/>
  <w15:chartTrackingRefBased/>
  <w15:docId w15:val="{001A3985-A96A-4F99-BF38-0B82D57C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aragraph"/>
    <w:link w:val="Heading1Char"/>
    <w:autoRedefine/>
    <w:uiPriority w:val="9"/>
    <w:qFormat/>
    <w:rsid w:val="00917F33"/>
    <w:pPr>
      <w:keepNext/>
      <w:spacing w:before="360" w:after="180" w:line="240" w:lineRule="auto"/>
      <w:outlineLvl w:val="0"/>
    </w:pPr>
    <w:rPr>
      <w:rFonts w:ascii="Times New Roman" w:eastAsia="Times New Roman" w:hAnsi="Times New Roman" w:cs="Arial"/>
      <w:kern w:val="32"/>
      <w:sz w:val="23"/>
      <w:szCs w:val="32"/>
      <w:lang w:val="en-GB" w:eastAsia="en-GB"/>
    </w:rPr>
  </w:style>
  <w:style w:type="paragraph" w:styleId="Heading2">
    <w:name w:val="heading 2"/>
    <w:basedOn w:val="Normal"/>
    <w:next w:val="Paragraph"/>
    <w:link w:val="Heading2Char"/>
    <w:autoRedefine/>
    <w:qFormat/>
    <w:rsid w:val="00917F33"/>
    <w:pPr>
      <w:keepNext/>
      <w:spacing w:before="360" w:after="180" w:line="240" w:lineRule="auto"/>
      <w:contextualSpacing/>
      <w:outlineLvl w:val="1"/>
    </w:pPr>
    <w:rPr>
      <w:rFonts w:ascii="Times New Roman" w:eastAsia="Times New Roman" w:hAnsi="Times New Roman" w:cs="Arial"/>
      <w:iCs/>
      <w:sz w:val="23"/>
      <w:szCs w:val="20"/>
      <w:lang w:val="en-GB" w:eastAsia="en-GB"/>
    </w:rPr>
  </w:style>
  <w:style w:type="paragraph" w:styleId="Heading3">
    <w:name w:val="heading 3"/>
    <w:basedOn w:val="Normal"/>
    <w:next w:val="Paragraph"/>
    <w:link w:val="Heading3Char"/>
    <w:semiHidden/>
    <w:rsid w:val="00917F33"/>
    <w:pPr>
      <w:keepNext/>
      <w:spacing w:before="240" w:after="0" w:line="240" w:lineRule="auto"/>
      <w:contextualSpacing/>
      <w:outlineLvl w:val="2"/>
    </w:pPr>
    <w:rPr>
      <w:rFonts w:ascii="Times New Roman" w:eastAsia="Times New Roman" w:hAnsi="Times New Roman" w:cs="Arial"/>
      <w:b/>
      <w:bCs/>
      <w:sz w:val="19"/>
      <w:szCs w:val="26"/>
      <w:lang w:val="en-GB" w:eastAsia="en-GB"/>
    </w:rPr>
  </w:style>
  <w:style w:type="paragraph" w:styleId="Heading4">
    <w:name w:val="heading 4"/>
    <w:basedOn w:val="Normal"/>
    <w:next w:val="Normal"/>
    <w:link w:val="Heading4Char"/>
    <w:semiHidden/>
    <w:rsid w:val="00917F33"/>
    <w:pPr>
      <w:keepNext/>
      <w:spacing w:before="240" w:after="60" w:line="240" w:lineRule="auto"/>
      <w:outlineLvl w:val="3"/>
    </w:pPr>
    <w:rPr>
      <w:rFonts w:ascii="Times New Roman" w:eastAsia="Times New Roman" w:hAnsi="Times New Roman" w:cs="Times New Roman"/>
      <w:bCs/>
      <w:i/>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917F33"/>
    <w:rPr>
      <w:color w:val="0563C1" w:themeColor="hyperlink"/>
      <w:u w:val="single"/>
    </w:rPr>
  </w:style>
  <w:style w:type="character" w:styleId="UnresolvedMention">
    <w:name w:val="Unresolved Mention"/>
    <w:basedOn w:val="DefaultParagraphFont"/>
    <w:uiPriority w:val="99"/>
    <w:semiHidden/>
    <w:unhideWhenUsed/>
    <w:rsid w:val="00917F33"/>
    <w:rPr>
      <w:color w:val="605E5C"/>
      <w:shd w:val="clear" w:color="auto" w:fill="E1DFDD"/>
    </w:rPr>
  </w:style>
  <w:style w:type="paragraph" w:styleId="NormalWeb">
    <w:name w:val="Normal (Web)"/>
    <w:basedOn w:val="Normal"/>
    <w:uiPriority w:val="99"/>
    <w:semiHidden/>
    <w:unhideWhenUsed/>
    <w:rsid w:val="00917F3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17F33"/>
    <w:rPr>
      <w:rFonts w:ascii="Times New Roman" w:eastAsia="Times New Roman" w:hAnsi="Times New Roman" w:cs="Arial"/>
      <w:kern w:val="32"/>
      <w:sz w:val="23"/>
      <w:szCs w:val="32"/>
      <w:lang w:val="en-GB" w:eastAsia="en-GB"/>
    </w:rPr>
  </w:style>
  <w:style w:type="character" w:customStyle="1" w:styleId="Heading2Char">
    <w:name w:val="Heading 2 Char"/>
    <w:basedOn w:val="DefaultParagraphFont"/>
    <w:link w:val="Heading2"/>
    <w:rsid w:val="00917F33"/>
    <w:rPr>
      <w:rFonts w:ascii="Times New Roman" w:eastAsia="Times New Roman" w:hAnsi="Times New Roman" w:cs="Arial"/>
      <w:iCs/>
      <w:sz w:val="23"/>
      <w:szCs w:val="20"/>
      <w:lang w:val="en-GB" w:eastAsia="en-GB"/>
    </w:rPr>
  </w:style>
  <w:style w:type="character" w:customStyle="1" w:styleId="Heading3Char">
    <w:name w:val="Heading 3 Char"/>
    <w:basedOn w:val="DefaultParagraphFont"/>
    <w:link w:val="Heading3"/>
    <w:semiHidden/>
    <w:rsid w:val="00917F33"/>
    <w:rPr>
      <w:rFonts w:ascii="Times New Roman" w:eastAsia="Times New Roman" w:hAnsi="Times New Roman" w:cs="Arial"/>
      <w:b/>
      <w:bCs/>
      <w:sz w:val="19"/>
      <w:szCs w:val="26"/>
      <w:lang w:val="en-GB" w:eastAsia="en-GB"/>
    </w:rPr>
  </w:style>
  <w:style w:type="character" w:customStyle="1" w:styleId="Heading4Char">
    <w:name w:val="Heading 4 Char"/>
    <w:basedOn w:val="DefaultParagraphFont"/>
    <w:link w:val="Heading4"/>
    <w:semiHidden/>
    <w:rsid w:val="00917F33"/>
    <w:rPr>
      <w:rFonts w:ascii="Times New Roman" w:eastAsia="Times New Roman" w:hAnsi="Times New Roman" w:cs="Times New Roman"/>
      <w:bCs/>
      <w:i/>
      <w:sz w:val="24"/>
      <w:szCs w:val="28"/>
      <w:lang w:val="en-GB" w:eastAsia="en-GB"/>
    </w:rPr>
  </w:style>
  <w:style w:type="paragraph" w:customStyle="1" w:styleId="Manuscripttitle">
    <w:name w:val="Manuscript title"/>
    <w:basedOn w:val="Normal"/>
    <w:next w:val="Normal"/>
    <w:qFormat/>
    <w:rsid w:val="00917F33"/>
    <w:pPr>
      <w:spacing w:after="0" w:line="240" w:lineRule="auto"/>
      <w:jc w:val="center"/>
    </w:pPr>
    <w:rPr>
      <w:rFonts w:ascii="Times New Roman" w:eastAsia="Times New Roman" w:hAnsi="Times New Roman" w:cs="Times New Roman"/>
      <w:b/>
      <w:caps/>
      <w:sz w:val="24"/>
      <w:szCs w:val="24"/>
      <w:lang w:val="en-GB" w:eastAsia="en-GB"/>
    </w:rPr>
  </w:style>
  <w:style w:type="paragraph" w:customStyle="1" w:styleId="Authornames">
    <w:name w:val="Author names"/>
    <w:basedOn w:val="Normal"/>
    <w:next w:val="Normal"/>
    <w:autoRedefine/>
    <w:semiHidden/>
    <w:qFormat/>
    <w:rsid w:val="00917F33"/>
    <w:pPr>
      <w:spacing w:before="240" w:after="0" w:line="240" w:lineRule="auto"/>
      <w:jc w:val="center"/>
    </w:pPr>
    <w:rPr>
      <w:rFonts w:ascii="Times New Roman" w:eastAsia="Times New Roman" w:hAnsi="Times New Roman" w:cs="Times New Roman"/>
      <w:szCs w:val="24"/>
      <w:lang w:val="en-GB" w:eastAsia="en-GB"/>
    </w:rPr>
  </w:style>
  <w:style w:type="paragraph" w:customStyle="1" w:styleId="Affiliation">
    <w:name w:val="Affiliation"/>
    <w:basedOn w:val="Normal"/>
    <w:next w:val="Normal"/>
    <w:semiHidden/>
    <w:qFormat/>
    <w:rsid w:val="00917F33"/>
    <w:pPr>
      <w:spacing w:before="240" w:after="0" w:line="240" w:lineRule="auto"/>
      <w:jc w:val="center"/>
    </w:pPr>
    <w:rPr>
      <w:rFonts w:ascii="Times New Roman" w:eastAsia="Times New Roman" w:hAnsi="Times New Roman" w:cs="Times New Roman"/>
      <w:i/>
      <w:sz w:val="19"/>
      <w:szCs w:val="24"/>
      <w:lang w:val="en-GB" w:eastAsia="en-GB"/>
    </w:rPr>
  </w:style>
  <w:style w:type="paragraph" w:customStyle="1" w:styleId="Receiveddates">
    <w:name w:val="Received dates"/>
    <w:basedOn w:val="Affiliation"/>
    <w:next w:val="Abstract"/>
    <w:autoRedefine/>
    <w:qFormat/>
    <w:rsid w:val="00917F33"/>
    <w:pPr>
      <w:spacing w:after="240"/>
    </w:pPr>
    <w:rPr>
      <w:i w:val="0"/>
      <w:sz w:val="20"/>
    </w:rPr>
  </w:style>
  <w:style w:type="paragraph" w:customStyle="1" w:styleId="Abstract">
    <w:name w:val="Abstract"/>
    <w:basedOn w:val="Normal"/>
    <w:next w:val="Keywords"/>
    <w:autoRedefine/>
    <w:qFormat/>
    <w:rsid w:val="00917F33"/>
    <w:pPr>
      <w:spacing w:before="240" w:after="0" w:line="240" w:lineRule="auto"/>
      <w:ind w:left="454" w:right="454"/>
      <w:jc w:val="both"/>
    </w:pPr>
    <w:rPr>
      <w:rFonts w:ascii="Times New Roman" w:eastAsia="Times New Roman" w:hAnsi="Times New Roman" w:cs="Times New Roman"/>
      <w:sz w:val="18"/>
      <w:szCs w:val="24"/>
      <w:lang w:val="en-GB" w:eastAsia="en-GB"/>
    </w:rPr>
  </w:style>
  <w:style w:type="paragraph" w:customStyle="1" w:styleId="Keywords">
    <w:name w:val="Keywords"/>
    <w:basedOn w:val="Normal"/>
    <w:next w:val="Paragraph"/>
    <w:autoRedefine/>
    <w:qFormat/>
    <w:rsid w:val="00917F33"/>
    <w:pPr>
      <w:spacing w:before="120" w:after="0" w:line="240" w:lineRule="auto"/>
      <w:ind w:left="454" w:right="454"/>
      <w:jc w:val="both"/>
    </w:pPr>
    <w:rPr>
      <w:rFonts w:ascii="Times New Roman" w:eastAsia="Times New Roman" w:hAnsi="Times New Roman" w:cs="Times New Roman"/>
      <w:sz w:val="18"/>
      <w:szCs w:val="24"/>
      <w:lang w:eastAsia="en-GB"/>
    </w:rPr>
  </w:style>
  <w:style w:type="paragraph" w:customStyle="1" w:styleId="Correspondencedetails">
    <w:name w:val="Correspondence details"/>
    <w:basedOn w:val="Normal"/>
    <w:next w:val="Normal"/>
    <w:qFormat/>
    <w:rsid w:val="00917F33"/>
    <w:pPr>
      <w:spacing w:after="0" w:line="240" w:lineRule="auto"/>
      <w:jc w:val="center"/>
    </w:pPr>
    <w:rPr>
      <w:rFonts w:ascii="Times New Roman" w:eastAsia="Times New Roman" w:hAnsi="Times New Roman" w:cs="Times New Roman"/>
      <w:i/>
      <w:sz w:val="20"/>
      <w:szCs w:val="24"/>
      <w:lang w:val="en-GB" w:eastAsia="en-GB"/>
    </w:rPr>
  </w:style>
  <w:style w:type="paragraph" w:customStyle="1" w:styleId="Displayedquotation">
    <w:name w:val="Displayed quotation"/>
    <w:basedOn w:val="Normal"/>
    <w:semiHidden/>
    <w:qFormat/>
    <w:rsid w:val="00917F33"/>
    <w:pPr>
      <w:tabs>
        <w:tab w:val="left" w:pos="1077"/>
        <w:tab w:val="left" w:pos="1440"/>
        <w:tab w:val="left" w:pos="1797"/>
        <w:tab w:val="left" w:pos="2155"/>
        <w:tab w:val="left" w:pos="2512"/>
      </w:tabs>
      <w:spacing w:before="120" w:after="120" w:line="240" w:lineRule="auto"/>
      <w:ind w:left="567" w:right="567"/>
      <w:contextualSpacing/>
    </w:pPr>
    <w:rPr>
      <w:rFonts w:ascii="Times New Roman" w:eastAsia="Times New Roman" w:hAnsi="Times New Roman" w:cs="Times New Roman"/>
      <w:szCs w:val="24"/>
      <w:lang w:val="en-GB" w:eastAsia="en-GB"/>
    </w:rPr>
  </w:style>
  <w:style w:type="paragraph" w:customStyle="1" w:styleId="Numberedlist">
    <w:name w:val="Numbered list"/>
    <w:basedOn w:val="Paragraph"/>
    <w:next w:val="Paragraph"/>
    <w:autoRedefine/>
    <w:qFormat/>
    <w:rsid w:val="00917F33"/>
    <w:pPr>
      <w:numPr>
        <w:numId w:val="13"/>
      </w:numPr>
      <w:spacing w:before="40"/>
      <w:ind w:left="568" w:hanging="284"/>
      <w:contextualSpacing/>
    </w:pPr>
  </w:style>
  <w:style w:type="paragraph" w:customStyle="1" w:styleId="Displayedequation">
    <w:name w:val="Displayed equation"/>
    <w:basedOn w:val="Normal"/>
    <w:next w:val="Paragraph"/>
    <w:autoRedefine/>
    <w:qFormat/>
    <w:rsid w:val="00917F33"/>
    <w:pPr>
      <w:tabs>
        <w:tab w:val="center" w:pos="3686"/>
        <w:tab w:val="right" w:pos="7371"/>
      </w:tabs>
      <w:spacing w:before="120" w:after="120" w:line="240" w:lineRule="auto"/>
      <w:jc w:val="center"/>
    </w:pPr>
    <w:rPr>
      <w:rFonts w:ascii="Times New Roman" w:eastAsia="Times New Roman" w:hAnsi="Times New Roman" w:cs="Times New Roman"/>
      <w:sz w:val="20"/>
      <w:szCs w:val="24"/>
      <w:lang w:val="en-GB" w:eastAsia="en-GB"/>
    </w:rPr>
  </w:style>
  <w:style w:type="paragraph" w:customStyle="1" w:styleId="Acknowledgements">
    <w:name w:val="Acknowledgements"/>
    <w:basedOn w:val="Normal"/>
    <w:next w:val="Normal"/>
    <w:autoRedefine/>
    <w:semiHidden/>
    <w:qFormat/>
    <w:rsid w:val="00917F33"/>
    <w:pPr>
      <w:spacing w:before="120" w:after="0" w:line="240" w:lineRule="auto"/>
      <w:jc w:val="both"/>
    </w:pPr>
    <w:rPr>
      <w:rFonts w:ascii="Times New Roman" w:eastAsia="Times New Roman" w:hAnsi="Times New Roman" w:cs="Times New Roman"/>
      <w:spacing w:val="-4"/>
      <w:sz w:val="20"/>
      <w:szCs w:val="24"/>
      <w:lang w:val="en-GB" w:eastAsia="en-GB"/>
    </w:rPr>
  </w:style>
  <w:style w:type="paragraph" w:customStyle="1" w:styleId="Tabletitle">
    <w:name w:val="Table title"/>
    <w:basedOn w:val="Normal"/>
    <w:next w:val="Normal"/>
    <w:autoRedefine/>
    <w:qFormat/>
    <w:rsid w:val="00917F33"/>
    <w:pPr>
      <w:spacing w:before="240" w:after="0" w:line="240" w:lineRule="auto"/>
      <w:ind w:left="284"/>
    </w:pPr>
    <w:rPr>
      <w:rFonts w:ascii="Times New Roman" w:eastAsia="Times New Roman" w:hAnsi="Times New Roman" w:cs="Times New Roman"/>
      <w:spacing w:val="4"/>
      <w:sz w:val="18"/>
      <w:szCs w:val="24"/>
      <w:lang w:val="en-GB" w:eastAsia="en-GB"/>
    </w:rPr>
  </w:style>
  <w:style w:type="paragraph" w:customStyle="1" w:styleId="Figurecaption">
    <w:name w:val="Figure caption"/>
    <w:basedOn w:val="Normal"/>
    <w:next w:val="Normal"/>
    <w:autoRedefine/>
    <w:qFormat/>
    <w:rsid w:val="00917F33"/>
    <w:pPr>
      <w:spacing w:before="240" w:after="180" w:line="240" w:lineRule="auto"/>
      <w:ind w:left="1440" w:firstLine="720"/>
    </w:pPr>
    <w:rPr>
      <w:rFonts w:ascii="Times New Roman" w:eastAsia="Times New Roman" w:hAnsi="Times New Roman" w:cs="Times New Roman"/>
      <w:spacing w:val="-4"/>
      <w:sz w:val="18"/>
      <w:szCs w:val="24"/>
      <w:lang w:eastAsia="en-GB"/>
    </w:rPr>
  </w:style>
  <w:style w:type="paragraph" w:customStyle="1" w:styleId="Notes">
    <w:name w:val="Notes"/>
    <w:basedOn w:val="Normal"/>
    <w:qFormat/>
    <w:rsid w:val="00917F33"/>
    <w:pPr>
      <w:spacing w:after="0" w:line="240" w:lineRule="auto"/>
      <w:contextualSpacing/>
    </w:pPr>
    <w:rPr>
      <w:rFonts w:ascii="Times New Roman" w:eastAsia="Times New Roman" w:hAnsi="Times New Roman" w:cs="Times New Roman"/>
      <w:sz w:val="16"/>
      <w:szCs w:val="24"/>
      <w:lang w:val="en-GB" w:eastAsia="en-GB"/>
    </w:rPr>
  </w:style>
  <w:style w:type="paragraph" w:customStyle="1" w:styleId="Notesoncontributors">
    <w:name w:val="Notes on contributors"/>
    <w:basedOn w:val="Normal"/>
    <w:next w:val="Normal"/>
    <w:semiHidden/>
    <w:qFormat/>
    <w:rsid w:val="00917F33"/>
    <w:pPr>
      <w:spacing w:before="240" w:after="0" w:line="360" w:lineRule="auto"/>
    </w:pPr>
    <w:rPr>
      <w:rFonts w:ascii="Times New Roman" w:eastAsia="Times New Roman" w:hAnsi="Times New Roman" w:cs="Times New Roman"/>
      <w:sz w:val="18"/>
      <w:szCs w:val="24"/>
      <w:lang w:val="en-GB" w:eastAsia="en-GB"/>
    </w:rPr>
  </w:style>
  <w:style w:type="paragraph" w:customStyle="1" w:styleId="Normalparagraphstyle">
    <w:name w:val="Normal paragraph style"/>
    <w:basedOn w:val="Normal"/>
    <w:next w:val="Normal"/>
    <w:semiHidden/>
    <w:rsid w:val="00917F33"/>
    <w:pPr>
      <w:spacing w:after="0" w:line="48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next w:val="Paragraphbody"/>
    <w:autoRedefine/>
    <w:semiHidden/>
    <w:qFormat/>
    <w:rsid w:val="00917F33"/>
    <w:pPr>
      <w:widowControl w:val="0"/>
      <w:spacing w:before="240" w:after="0" w:line="240" w:lineRule="auto"/>
      <w:jc w:val="both"/>
    </w:pPr>
    <w:rPr>
      <w:rFonts w:ascii="Times New Roman" w:eastAsia="Times New Roman" w:hAnsi="Times New Roman" w:cs="Times New Roman"/>
      <w:sz w:val="20"/>
      <w:szCs w:val="24"/>
      <w:lang w:val="en-GB" w:eastAsia="en-GB"/>
    </w:rPr>
  </w:style>
  <w:style w:type="paragraph" w:customStyle="1" w:styleId="Paragraphbody">
    <w:name w:val="Paragraph body"/>
    <w:basedOn w:val="Normal"/>
    <w:autoRedefine/>
    <w:qFormat/>
    <w:rsid w:val="00917F33"/>
    <w:pPr>
      <w:spacing w:before="60" w:after="0" w:line="240" w:lineRule="auto"/>
      <w:jc w:val="both"/>
    </w:pPr>
    <w:rPr>
      <w:rFonts w:ascii="Times New Roman" w:eastAsia="Times New Roman" w:hAnsi="Times New Roman" w:cs="Times New Roman"/>
      <w:spacing w:val="2"/>
      <w:sz w:val="20"/>
      <w:szCs w:val="20"/>
      <w:lang w:eastAsia="en-GB"/>
    </w:rPr>
  </w:style>
  <w:style w:type="paragraph" w:styleId="NormalIndent">
    <w:name w:val="Normal Indent"/>
    <w:basedOn w:val="Normal"/>
    <w:semiHidden/>
    <w:rsid w:val="00917F33"/>
    <w:pPr>
      <w:spacing w:after="0" w:line="240" w:lineRule="auto"/>
      <w:ind w:left="720"/>
    </w:pPr>
    <w:rPr>
      <w:rFonts w:ascii="Times New Roman" w:eastAsia="Times New Roman" w:hAnsi="Times New Roman" w:cs="Times New Roman"/>
      <w:sz w:val="24"/>
      <w:szCs w:val="24"/>
      <w:lang w:val="en-GB" w:eastAsia="en-GB"/>
    </w:rPr>
  </w:style>
  <w:style w:type="paragraph" w:customStyle="1" w:styleId="References">
    <w:name w:val="References"/>
    <w:basedOn w:val="Normal"/>
    <w:autoRedefine/>
    <w:qFormat/>
    <w:rsid w:val="00917F33"/>
    <w:pPr>
      <w:spacing w:before="120" w:after="0" w:line="240" w:lineRule="auto"/>
      <w:ind w:left="288" w:hanging="288"/>
      <w:contextualSpacing/>
      <w:jc w:val="both"/>
    </w:pPr>
    <w:rPr>
      <w:rFonts w:ascii="Times New Roman" w:eastAsia="TimesNewRomanPSMT" w:hAnsi="Times New Roman" w:cs="Times New Roman"/>
      <w:noProof/>
      <w:sz w:val="18"/>
      <w:szCs w:val="24"/>
      <w:lang w:val="en-GB" w:eastAsia="en-GB"/>
    </w:rPr>
  </w:style>
  <w:style w:type="character" w:styleId="Strong">
    <w:name w:val="Strong"/>
    <w:uiPriority w:val="22"/>
    <w:qFormat/>
    <w:rsid w:val="00917F33"/>
    <w:rPr>
      <w:b/>
      <w:bCs/>
    </w:rPr>
  </w:style>
  <w:style w:type="paragraph" w:customStyle="1" w:styleId="Subjectcodes">
    <w:name w:val="Subject codes"/>
    <w:basedOn w:val="Keywords"/>
    <w:next w:val="Paragraph"/>
    <w:semiHidden/>
    <w:qFormat/>
    <w:rsid w:val="00917F33"/>
  </w:style>
  <w:style w:type="paragraph" w:customStyle="1" w:styleId="Bulletedlist">
    <w:name w:val="Bulleted list"/>
    <w:basedOn w:val="Paragraph"/>
    <w:next w:val="Paragraph"/>
    <w:autoRedefine/>
    <w:qFormat/>
    <w:rsid w:val="00917F33"/>
    <w:pPr>
      <w:numPr>
        <w:numId w:val="14"/>
      </w:numPr>
      <w:spacing w:before="40"/>
      <w:ind w:left="568" w:hanging="284"/>
      <w:contextualSpacing/>
      <w:jc w:val="left"/>
    </w:pPr>
    <w:rPr>
      <w:spacing w:val="4"/>
      <w:szCs w:val="21"/>
    </w:rPr>
  </w:style>
  <w:style w:type="paragraph" w:styleId="BalloonText">
    <w:name w:val="Balloon Text"/>
    <w:basedOn w:val="Normal"/>
    <w:link w:val="BalloonTextChar"/>
    <w:semiHidden/>
    <w:rsid w:val="00917F33"/>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917F33"/>
    <w:rPr>
      <w:rFonts w:ascii="Tahoma" w:eastAsia="Times New Roman" w:hAnsi="Tahoma" w:cs="Tahoma"/>
      <w:sz w:val="16"/>
      <w:szCs w:val="16"/>
      <w:lang w:val="en-GB" w:eastAsia="en-GB"/>
    </w:rPr>
  </w:style>
  <w:style w:type="paragraph" w:styleId="FootnoteText">
    <w:name w:val="footnote text"/>
    <w:basedOn w:val="Normal"/>
    <w:link w:val="FootnoteTextChar"/>
    <w:autoRedefine/>
    <w:semiHidden/>
    <w:rsid w:val="00917F33"/>
    <w:pPr>
      <w:spacing w:after="0" w:line="240" w:lineRule="auto"/>
      <w:ind w:left="284" w:hanging="284"/>
    </w:pPr>
    <w:rPr>
      <w:rFonts w:ascii="Times New Roman" w:eastAsia="Times New Roman" w:hAnsi="Times New Roman" w:cs="Times New Roman"/>
      <w:szCs w:val="20"/>
      <w:lang w:val="en-GB" w:eastAsia="en-GB"/>
    </w:rPr>
  </w:style>
  <w:style w:type="character" w:customStyle="1" w:styleId="FootnoteTextChar">
    <w:name w:val="Footnote Text Char"/>
    <w:basedOn w:val="DefaultParagraphFont"/>
    <w:link w:val="FootnoteText"/>
    <w:semiHidden/>
    <w:rsid w:val="00917F33"/>
    <w:rPr>
      <w:rFonts w:ascii="Times New Roman" w:eastAsia="Times New Roman" w:hAnsi="Times New Roman" w:cs="Times New Roman"/>
      <w:szCs w:val="20"/>
      <w:lang w:val="en-GB" w:eastAsia="en-GB"/>
    </w:rPr>
  </w:style>
  <w:style w:type="character" w:styleId="FootnoteReference">
    <w:name w:val="footnote reference"/>
    <w:semiHidden/>
    <w:rsid w:val="00917F33"/>
    <w:rPr>
      <w:vertAlign w:val="superscript"/>
    </w:rPr>
  </w:style>
  <w:style w:type="paragraph" w:styleId="EndnoteText">
    <w:name w:val="endnote text"/>
    <w:basedOn w:val="Normal"/>
    <w:link w:val="EndnoteTextChar"/>
    <w:autoRedefine/>
    <w:semiHidden/>
    <w:rsid w:val="00917F33"/>
    <w:pPr>
      <w:spacing w:after="0" w:line="240" w:lineRule="auto"/>
      <w:ind w:left="284" w:hanging="284"/>
    </w:pPr>
    <w:rPr>
      <w:rFonts w:ascii="Times New Roman" w:eastAsia="Times New Roman" w:hAnsi="Times New Roman" w:cs="Times New Roman"/>
      <w:szCs w:val="20"/>
      <w:lang w:val="en-GB" w:eastAsia="en-GB"/>
    </w:rPr>
  </w:style>
  <w:style w:type="character" w:customStyle="1" w:styleId="EndnoteTextChar">
    <w:name w:val="Endnote Text Char"/>
    <w:basedOn w:val="DefaultParagraphFont"/>
    <w:link w:val="EndnoteText"/>
    <w:semiHidden/>
    <w:rsid w:val="00917F33"/>
    <w:rPr>
      <w:rFonts w:ascii="Times New Roman" w:eastAsia="Times New Roman" w:hAnsi="Times New Roman" w:cs="Times New Roman"/>
      <w:szCs w:val="20"/>
      <w:lang w:val="en-GB" w:eastAsia="en-GB"/>
    </w:rPr>
  </w:style>
  <w:style w:type="character" w:styleId="EndnoteReference">
    <w:name w:val="endnote reference"/>
    <w:semiHidden/>
    <w:rsid w:val="00917F33"/>
    <w:rPr>
      <w:vertAlign w:val="superscript"/>
    </w:rPr>
  </w:style>
  <w:style w:type="paragraph" w:customStyle="1" w:styleId="Biographicalnotesaboutauthors">
    <w:name w:val="Biographical notes about authors"/>
    <w:basedOn w:val="Normal"/>
    <w:next w:val="Normal"/>
    <w:autoRedefine/>
    <w:semiHidden/>
    <w:qFormat/>
    <w:rsid w:val="00917F33"/>
    <w:pPr>
      <w:spacing w:before="120" w:after="0" w:line="240" w:lineRule="auto"/>
      <w:jc w:val="both"/>
    </w:pPr>
    <w:rPr>
      <w:rFonts w:ascii="Times New Roman" w:eastAsia="Times New Roman" w:hAnsi="Times New Roman" w:cs="Times New Roman"/>
      <w:sz w:val="18"/>
      <w:szCs w:val="24"/>
      <w:lang w:val="en-GB" w:eastAsia="en-GB"/>
    </w:rPr>
  </w:style>
  <w:style w:type="paragraph" w:customStyle="1" w:styleId="ParagraphBody0">
    <w:name w:val="Paragraph Body"/>
    <w:basedOn w:val="Normal"/>
    <w:semiHidden/>
    <w:qFormat/>
    <w:rsid w:val="00917F33"/>
    <w:pPr>
      <w:spacing w:after="0" w:line="240" w:lineRule="auto"/>
      <w:ind w:firstLine="284"/>
      <w:jc w:val="both"/>
    </w:pPr>
    <w:rPr>
      <w:rFonts w:ascii="Times New Roman" w:eastAsia="Times New Roman" w:hAnsi="Times New Roman" w:cs="Times New Roman"/>
      <w:sz w:val="20"/>
      <w:szCs w:val="24"/>
      <w:lang w:val="en-GB" w:eastAsia="en-GB"/>
    </w:rPr>
  </w:style>
  <w:style w:type="paragraph" w:customStyle="1" w:styleId="Citing">
    <w:name w:val="Citing"/>
    <w:basedOn w:val="Normal"/>
    <w:semiHidden/>
    <w:rsid w:val="00917F33"/>
    <w:pPr>
      <w:spacing w:before="120" w:after="0" w:line="240" w:lineRule="auto"/>
      <w:ind w:left="454" w:right="454"/>
      <w:jc w:val="both"/>
    </w:pPr>
    <w:rPr>
      <w:rFonts w:ascii="Times New Roman" w:eastAsia="MS Mincho" w:hAnsi="Times New Roman" w:cs="Times New Roman"/>
      <w:sz w:val="18"/>
      <w:szCs w:val="20"/>
      <w:lang w:eastAsia="fr-FR"/>
    </w:rPr>
  </w:style>
  <w:style w:type="paragraph" w:customStyle="1" w:styleId="RTU-MainText">
    <w:name w:val="RTU - Main Text"/>
    <w:basedOn w:val="Normal"/>
    <w:link w:val="RTU-MainTextChar"/>
    <w:semiHidden/>
    <w:qFormat/>
    <w:rsid w:val="00917F33"/>
    <w:pPr>
      <w:spacing w:after="0" w:line="240" w:lineRule="exact"/>
      <w:ind w:firstLine="204"/>
      <w:jc w:val="both"/>
    </w:pPr>
    <w:rPr>
      <w:rFonts w:ascii="Times New Roman" w:eastAsia="MS Mincho" w:hAnsi="Times New Roman" w:cs="Times New Roman"/>
      <w:sz w:val="20"/>
      <w:szCs w:val="20"/>
      <w:lang w:eastAsia="fr-FR"/>
    </w:rPr>
  </w:style>
  <w:style w:type="character" w:customStyle="1" w:styleId="RTU-MainTextChar">
    <w:name w:val="RTU - Main Text Char"/>
    <w:link w:val="RTU-MainText"/>
    <w:semiHidden/>
    <w:rsid w:val="00917F33"/>
    <w:rPr>
      <w:rFonts w:ascii="Times New Roman" w:eastAsia="MS Mincho" w:hAnsi="Times New Roman" w:cs="Times New Roman"/>
      <w:sz w:val="20"/>
      <w:szCs w:val="20"/>
      <w:lang w:eastAsia="fr-FR"/>
    </w:rPr>
  </w:style>
  <w:style w:type="character" w:styleId="CommentReference">
    <w:name w:val="annotation reference"/>
    <w:semiHidden/>
    <w:rsid w:val="00917F33"/>
    <w:rPr>
      <w:sz w:val="16"/>
      <w:szCs w:val="16"/>
    </w:rPr>
  </w:style>
  <w:style w:type="paragraph" w:styleId="CommentText">
    <w:name w:val="annotation text"/>
    <w:basedOn w:val="Normal"/>
    <w:link w:val="CommentTextChar"/>
    <w:semiHidden/>
    <w:rsid w:val="00917F33"/>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917F3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917F33"/>
    <w:rPr>
      <w:b/>
      <w:bCs/>
    </w:rPr>
  </w:style>
  <w:style w:type="character" w:customStyle="1" w:styleId="CommentSubjectChar">
    <w:name w:val="Comment Subject Char"/>
    <w:basedOn w:val="CommentTextChar"/>
    <w:link w:val="CommentSubject"/>
    <w:semiHidden/>
    <w:rsid w:val="00917F33"/>
    <w:rPr>
      <w:rFonts w:ascii="Times New Roman" w:eastAsia="Times New Roman" w:hAnsi="Times New Roman" w:cs="Times New Roman"/>
      <w:b/>
      <w:bCs/>
      <w:sz w:val="20"/>
      <w:szCs w:val="20"/>
      <w:lang w:val="en-GB" w:eastAsia="en-GB"/>
    </w:rPr>
  </w:style>
  <w:style w:type="paragraph" w:styleId="Header">
    <w:name w:val="header"/>
    <w:basedOn w:val="Normal"/>
    <w:link w:val="HeaderChar"/>
    <w:semiHidden/>
    <w:rsid w:val="00917F33"/>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semiHidden/>
    <w:rsid w:val="00917F33"/>
    <w:rPr>
      <w:rFonts w:ascii="Times New Roman" w:eastAsia="Times New Roman" w:hAnsi="Times New Roman" w:cs="Times New Roman"/>
      <w:sz w:val="24"/>
      <w:szCs w:val="24"/>
      <w:lang w:val="en-GB" w:eastAsia="en-GB"/>
    </w:rPr>
  </w:style>
  <w:style w:type="paragraph" w:styleId="Footer">
    <w:name w:val="footer"/>
    <w:aliases w:val="Char Char"/>
    <w:basedOn w:val="Normal"/>
    <w:link w:val="FooterChar"/>
    <w:uiPriority w:val="99"/>
    <w:rsid w:val="00917F33"/>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aliases w:val="Char Char Char"/>
    <w:basedOn w:val="DefaultParagraphFont"/>
    <w:link w:val="Footer"/>
    <w:uiPriority w:val="99"/>
    <w:rsid w:val="00917F33"/>
    <w:rPr>
      <w:rFonts w:ascii="Times New Roman" w:eastAsia="Times New Roman" w:hAnsi="Times New Roman" w:cs="Times New Roman"/>
      <w:sz w:val="24"/>
      <w:szCs w:val="24"/>
      <w:lang w:val="en-GB" w:eastAsia="en-GB"/>
    </w:rPr>
  </w:style>
  <w:style w:type="character" w:customStyle="1" w:styleId="UnresolvedMention1">
    <w:name w:val="Unresolved Mention1"/>
    <w:uiPriority w:val="99"/>
    <w:semiHidden/>
    <w:unhideWhenUsed/>
    <w:rsid w:val="00917F33"/>
    <w:rPr>
      <w:color w:val="808080"/>
      <w:shd w:val="clear" w:color="auto" w:fill="E6E6E6"/>
    </w:rPr>
  </w:style>
  <w:style w:type="character" w:styleId="FollowedHyperlink">
    <w:name w:val="FollowedHyperlink"/>
    <w:semiHidden/>
    <w:rsid w:val="00917F33"/>
    <w:rPr>
      <w:color w:val="954F72"/>
      <w:u w:val="single"/>
    </w:rPr>
  </w:style>
  <w:style w:type="paragraph" w:customStyle="1" w:styleId="Paragraphbody0ident">
    <w:name w:val="Paragraph body 0 ident"/>
    <w:basedOn w:val="Paragraphbody"/>
    <w:rsid w:val="00917F33"/>
    <w:pPr>
      <w:spacing w:before="0"/>
    </w:pPr>
  </w:style>
  <w:style w:type="paragraph" w:customStyle="1" w:styleId="13BULLETS">
    <w:name w:val="13_BULLETS"/>
    <w:basedOn w:val="Bulletedlist"/>
    <w:rsid w:val="00917F33"/>
    <w:pPr>
      <w:numPr>
        <w:numId w:val="0"/>
      </w:numPr>
      <w:tabs>
        <w:tab w:val="num" w:pos="1209"/>
      </w:tabs>
      <w:spacing w:before="0"/>
      <w:ind w:left="568" w:hanging="142"/>
      <w:jc w:val="both"/>
    </w:pPr>
  </w:style>
  <w:style w:type="character" w:styleId="Emphasis">
    <w:name w:val="Emphasis"/>
    <w:uiPriority w:val="20"/>
    <w:qFormat/>
    <w:rsid w:val="00917F33"/>
    <w:rPr>
      <w:i/>
      <w:iCs/>
    </w:rPr>
  </w:style>
  <w:style w:type="character" w:customStyle="1" w:styleId="11REFERENCESChar">
    <w:name w:val="11_REFERENCES Char"/>
    <w:link w:val="11REFERENCES"/>
    <w:rsid w:val="00917F33"/>
    <w:rPr>
      <w:color w:val="000000"/>
      <w:sz w:val="18"/>
      <w:szCs w:val="19"/>
      <w:lang w:val="x-none"/>
    </w:rPr>
  </w:style>
  <w:style w:type="paragraph" w:customStyle="1" w:styleId="11REFERENCES">
    <w:name w:val="11_REFERENCES"/>
    <w:basedOn w:val="Normal"/>
    <w:link w:val="11REFERENCESChar"/>
    <w:rsid w:val="00917F33"/>
    <w:pPr>
      <w:widowControl w:val="0"/>
      <w:autoSpaceDE w:val="0"/>
      <w:autoSpaceDN w:val="0"/>
      <w:adjustRightInd w:val="0"/>
      <w:spacing w:after="40" w:line="240" w:lineRule="auto"/>
      <w:ind w:left="425" w:hanging="425"/>
      <w:jc w:val="both"/>
      <w:textAlignment w:val="center"/>
    </w:pPr>
    <w:rPr>
      <w:color w:val="000000"/>
      <w:sz w:val="18"/>
      <w:szCs w:val="19"/>
      <w:lang w:val="x-none"/>
    </w:rPr>
  </w:style>
  <w:style w:type="character" w:customStyle="1" w:styleId="tlid-translation">
    <w:name w:val="tlid-translation"/>
    <w:basedOn w:val="DefaultParagraphFont"/>
    <w:rsid w:val="00917F33"/>
  </w:style>
  <w:style w:type="paragraph" w:styleId="Caption">
    <w:name w:val="caption"/>
    <w:basedOn w:val="Normal"/>
    <w:next w:val="Normal"/>
    <w:uiPriority w:val="35"/>
    <w:unhideWhenUsed/>
    <w:qFormat/>
    <w:rsid w:val="00917F33"/>
    <w:pPr>
      <w:spacing w:line="256" w:lineRule="auto"/>
    </w:pPr>
    <w:rPr>
      <w:rFonts w:ascii="Calibri" w:eastAsia="Calibri" w:hAnsi="Calibri" w:cs="Times New Roman"/>
      <w:b/>
      <w:bCs/>
      <w:sz w:val="20"/>
      <w:szCs w:val="20"/>
      <w:lang w:val="id-ID"/>
    </w:rPr>
  </w:style>
  <w:style w:type="character" w:customStyle="1" w:styleId="hps">
    <w:name w:val="hps"/>
    <w:basedOn w:val="DefaultParagraphFont"/>
    <w:rsid w:val="00917F33"/>
  </w:style>
  <w:style w:type="paragraph" w:styleId="ListParagraph">
    <w:name w:val="List Paragraph"/>
    <w:basedOn w:val="Normal"/>
    <w:uiPriority w:val="34"/>
    <w:qFormat/>
    <w:rsid w:val="00917F33"/>
    <w:pPr>
      <w:spacing w:after="200" w:line="276" w:lineRule="auto"/>
      <w:ind w:left="720"/>
      <w:contextualSpacing/>
    </w:pPr>
    <w:rPr>
      <w:rFonts w:ascii="Calibri" w:eastAsia="Times New Roman" w:hAnsi="Calibri" w:cs="Arial"/>
      <w:lang w:val="en-GB"/>
    </w:rPr>
  </w:style>
  <w:style w:type="paragraph" w:customStyle="1" w:styleId="Default">
    <w:name w:val="Default"/>
    <w:rsid w:val="00917F33"/>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59"/>
    <w:rsid w:val="00917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cellcontainer">
    <w:name w:val="gridcellcontainer"/>
    <w:basedOn w:val="DefaultParagraphFont"/>
    <w:rsid w:val="00B03DC2"/>
  </w:style>
  <w:style w:type="character" w:customStyle="1" w:styleId="label">
    <w:name w:val="label"/>
    <w:basedOn w:val="DefaultParagraphFont"/>
    <w:rsid w:val="00B03DC2"/>
  </w:style>
  <w:style w:type="character" w:customStyle="1" w:styleId="pkpscreenreader">
    <w:name w:val="pkp_screen_reader"/>
    <w:basedOn w:val="DefaultParagraphFont"/>
    <w:rsid w:val="00B0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8496">
      <w:bodyDiv w:val="1"/>
      <w:marLeft w:val="0"/>
      <w:marRight w:val="0"/>
      <w:marTop w:val="0"/>
      <w:marBottom w:val="0"/>
      <w:divBdr>
        <w:top w:val="none" w:sz="0" w:space="0" w:color="auto"/>
        <w:left w:val="none" w:sz="0" w:space="0" w:color="auto"/>
        <w:bottom w:val="none" w:sz="0" w:space="0" w:color="auto"/>
        <w:right w:val="none" w:sz="0" w:space="0" w:color="auto"/>
      </w:divBdr>
    </w:div>
    <w:div w:id="9576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p@vgtu.l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journals.vgtu.lt/index.php/BTP/$$$call$$$/api/file/file-api/download-file?fileId=44677&amp;revision=1&amp;submissionId=12657&amp;stageId=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tp@vgtu.lt" TargetMode="External"/><Relationship Id="rId11" Type="http://schemas.openxmlformats.org/officeDocument/2006/relationships/hyperlink" Target="https://journals.vgtu.lt/index.php/BTP/authorDashboard/submission/1265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journals.vgtu.lt/index.php/BTP/$$$call$$$/api/file/file-api/download-file?fileId=44505&amp;revision=1&amp;submissionId=12657&amp;stageId=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18</Pages>
  <Words>23605</Words>
  <Characters>134554</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cp:revision>
  <dcterms:created xsi:type="dcterms:W3CDTF">2022-03-17T01:54:00Z</dcterms:created>
  <dcterms:modified xsi:type="dcterms:W3CDTF">2023-06-16T00:53:00Z</dcterms:modified>
</cp:coreProperties>
</file>